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FULGENT GENETICS,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4399 SANTA ANITA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Fulgent Genetics, Inc.</w:t>
              </w:r>
            </w:hyperlink>
            <w:r>
              <w:rPr/>
              <w:t xml:space="preserve"> [ </w:t>
            </w:r>
            <w:r>
              <w:rPr>
                <w:rFonts w:ascii="Times;serif" w:hAnsi="Times;serif"/>
                <w:color w:val="0000FF"/>
                <w:sz w:val="24"/>
                <w:shd w:fill="FFFFFF" w:val="clear"/>
              </w:rPr>
              <w:t>FLGT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2,087</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18.09</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362,545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certain restricted stock units granted to the reporting person on February 25, 2025, which grant was originally reported on Form 4 filed with the U.S. Securities and Exchange Commission on February 27,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3820" TargetMode="External"/><Relationship Id="rId5" Type="http://schemas.openxmlformats.org/officeDocument/2006/relationships/hyperlink" Target="http://www.sec.gov/cgi-bin/browse-edgar?action=getcompany&amp;CIK=0001674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3327</Characters>
  <CharactersWithSpaces>3884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