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Hsieh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12"/>
        <w:gridCol w:w="782"/>
        <w:gridCol w:w="606"/>
        <w:gridCol w:w="343"/>
        <w:gridCol w:w="869"/>
        <w:gridCol w:w="432"/>
        <w:gridCol w:w="749"/>
        <w:gridCol w:w="1259"/>
        <w:gridCol w:w="975"/>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2,949</w:t>
            </w:r>
            <w:r>
              <w:rPr>
                <w:rFonts w:ascii="Times;serif" w:hAnsi="Times;serif"/>
                <w:color w:val="008000"/>
                <w:position w:val="7"/>
                <w:sz w:val="16"/>
                <w:sz w:val="20"/>
                <w:shd w:fill="FFFFFF" w:val="clear"/>
              </w:rPr>
              <w:t>(1)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19.81</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890,344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7,895,115</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220,816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Uniform Transfer to Minor Account</w:t>
            </w:r>
            <w:r>
              <w:rPr>
                <w:rFonts w:ascii="Times;serif" w:hAnsi="Times;serif"/>
                <w:color w:val="008000"/>
                <w:position w:val="7"/>
                <w:sz w:val="16"/>
                <w:sz w:val="20"/>
                <w:shd w:fill="FFFFFF" w:val="clear"/>
              </w:rPr>
              <w:t>(4)</w:t>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Immediate Family</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certain restricted stock units granted to the reporting person on February 26, 2024, which grant was originally reported on Form 4 filed with the U.S. Securities and Exchange Commission on February 28,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held by The Ming Hsieh Trust (the "Hsieh Trust"). Mr. Hsieh is the trustee of the Hsieh Trust and possesses the sole voting and dispositive power with respect to securities held by the Hsieh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held by the Dynasty Trust. Mr. Hsieh is the grantor of the Dynasty Trust and he and his spouse, Eva Hsieh, and Jian Xie serve on the investment committee of the Dynasty Trust. Mr. Hsieh disclaims any beneficial interest except with respect to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in a Uniform Transfers to Minor Act account for which Ming Hsieh acts as custodian and possesses the sole voting and dispositive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which were previously held in a Uniform Transfers to Minor Act account, now held by an immediate family member residing in the same household as Ming Hsieh.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2110"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4198</Characters>
  <CharactersWithSpaces>4901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