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4" w:lineRule="exact"/>
        <w:rPr>
          <w:sz w:val="24"/>
          <w:szCs w:val="24"/>
          <w:color w:val="auto"/>
        </w:rPr>
      </w:pPr>
    </w:p>
    <w:p>
      <w:pPr>
        <w:ind w:right="300" w:firstLine="8"/>
        <w:spacing w:after="0" w:line="243" w:lineRule="auto"/>
        <w:tabs>
          <w:tab w:leader="none" w:pos="40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right="300" w:firstLine="8"/>
        <w:spacing w:after="0" w:line="245" w:lineRule="auto"/>
        <w:tabs>
          <w:tab w:leader="none" w:pos="40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0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3448685</wp:posOffset>
            </wp:positionH>
            <wp:positionV relativeFrom="paragraph">
              <wp:posOffset>-5080</wp:posOffset>
            </wp:positionV>
            <wp:extent cx="800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FULGENT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81-2621304</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4399 Santa Anita Avenue</w:t>
            </w: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0"/>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gridSpan w:val="5"/>
          </w:tcPr>
          <w:p>
            <w:pPr>
              <w:jc w:val="center"/>
              <w:ind w:left="33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362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880" w:type="dxa"/>
            <w:vAlign w:val="bottom"/>
          </w:tcPr>
          <w:p>
            <w:pPr>
              <w:spacing w:after="0"/>
              <w:rPr>
                <w:sz w:val="14"/>
                <w:szCs w:val="14"/>
                <w:color w:val="auto"/>
              </w:rPr>
            </w:pPr>
          </w:p>
        </w:tc>
        <w:tc>
          <w:tcPr>
            <w:tcW w:w="3160" w:type="dxa"/>
            <w:vAlign w:val="bottom"/>
            <w:tcBorders>
              <w:right w:val="single" w:sz="8" w:color="auto"/>
            </w:tcBorders>
            <w:gridSpan w:val="2"/>
          </w:tcPr>
          <w:p>
            <w:pPr>
              <w:jc w:val="center"/>
              <w:ind w:right="880"/>
              <w:spacing w:after="0" w:line="167" w:lineRule="exact"/>
              <w:rPr>
                <w:sz w:val="20"/>
                <w:szCs w:val="20"/>
                <w:color w:val="auto"/>
              </w:rPr>
            </w:pPr>
            <w:r>
              <w:rPr>
                <w:rFonts w:ascii="Times New Roman" w:cs="Times New Roman" w:eastAsia="Times New Roman" w:hAnsi="Times New Roman"/>
                <w:sz w:val="16"/>
                <w:szCs w:val="16"/>
                <w:color w:val="auto"/>
                <w:w w:val="99"/>
              </w:rPr>
              <w:t>FLGT</w:t>
            </w:r>
          </w:p>
        </w:tc>
        <w:tc>
          <w:tcPr>
            <w:tcW w:w="100" w:type="dxa"/>
            <w:vAlign w:val="bottom"/>
          </w:tcPr>
          <w:p>
            <w:pPr>
              <w:spacing w:after="0"/>
              <w:rPr>
                <w:sz w:val="14"/>
                <w:szCs w:val="14"/>
                <w:color w:val="auto"/>
              </w:rPr>
            </w:pPr>
          </w:p>
        </w:tc>
        <w:tc>
          <w:tcPr>
            <w:tcW w:w="3480" w:type="dxa"/>
            <w:vAlign w:val="bottom"/>
            <w:tcBorders>
              <w:right w:val="single" w:sz="8" w:color="auto"/>
            </w:tcBorders>
          </w:tcPr>
          <w:p>
            <w:pPr>
              <w:jc w:val="center"/>
              <w:ind w:right="100"/>
              <w:spacing w:after="0" w:line="167"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13"/>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4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2, 2026, there were 27,939,000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47"/>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70"/>
        </w:trPr>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5720" w:type="dxa"/>
            <w:vAlign w:val="bottom"/>
            <w:gridSpan w:val="8"/>
          </w:tcPr>
          <w:p>
            <w:pPr>
              <w:spacing w:after="0"/>
              <w:rPr>
                <w:sz w:val="23"/>
                <w:szCs w:val="23"/>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29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940" w:type="dxa"/>
            <w:vAlign w:val="bottom"/>
            <w:gridSpan w:val="9"/>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4</w:t>
            </w:r>
          </w:p>
        </w:tc>
      </w:tr>
      <w:tr>
        <w:trPr>
          <w:trHeight w:val="291"/>
        </w:trPr>
        <w:tc>
          <w:tcPr>
            <w:tcW w:w="44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32</w:t>
            </w:r>
          </w:p>
        </w:tc>
      </w:tr>
      <w:tr>
        <w:trPr>
          <w:trHeight w:val="291"/>
        </w:trPr>
        <w:tc>
          <w:tcPr>
            <w:tcW w:w="49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40</w:t>
            </w:r>
          </w:p>
        </w:tc>
      </w:tr>
      <w:tr>
        <w:trPr>
          <w:trHeight w:val="290"/>
        </w:trPr>
        <w:tc>
          <w:tcPr>
            <w:tcW w:w="2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0" w:type="dxa"/>
            <w:vAlign w:val="bottom"/>
            <w:tcBorders>
              <w:bottom w:val="single" w:sz="8" w:color="0000EE"/>
            </w:tcBorders>
          </w:tcPr>
          <w:p>
            <w:pPr>
              <w:spacing w:after="0"/>
              <w:rPr>
                <w:sz w:val="24"/>
                <w:szCs w:val="24"/>
                <w:color w:val="auto"/>
              </w:rPr>
            </w:pPr>
          </w:p>
        </w:tc>
        <w:tc>
          <w:tcPr>
            <w:tcW w:w="6560" w:type="dxa"/>
            <w:vAlign w:val="bottom"/>
            <w:gridSpan w:val="11"/>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40</w:t>
            </w:r>
          </w:p>
        </w:tc>
      </w:tr>
      <w:tr>
        <w:trPr>
          <w:trHeight w:val="291"/>
        </w:trPr>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5960" w:type="dxa"/>
            <w:vAlign w:val="bottom"/>
            <w:gridSpan w:val="10"/>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41</w:t>
            </w:r>
          </w:p>
        </w:tc>
      </w:tr>
      <w:tr>
        <w:trPr>
          <w:trHeight w:val="290"/>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020" w:type="dxa"/>
            <w:vAlign w:val="bottom"/>
            <w:gridSpan w:val="1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41</w:t>
            </w:r>
          </w:p>
        </w:tc>
      </w:tr>
      <w:tr>
        <w:trPr>
          <w:trHeight w:val="291"/>
        </w:trPr>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320" w:type="dxa"/>
            <w:vAlign w:val="bottom"/>
            <w:gridSpan w:val="15"/>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41</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41</w:t>
            </w:r>
          </w:p>
        </w:tc>
      </w:tr>
      <w:tr>
        <w:trPr>
          <w:trHeight w:val="291"/>
        </w:trPr>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3020" w:type="dxa"/>
            <w:vAlign w:val="bottom"/>
            <w:tcBorders>
              <w:top w:val="single" w:sz="8" w:color="0000FF"/>
            </w:tcBorders>
            <w:gridSpan w:val="11"/>
          </w:tcPr>
          <w:p>
            <w:pPr>
              <w:spacing w:after="0"/>
              <w:rPr>
                <w:sz w:val="24"/>
                <w:szCs w:val="24"/>
                <w:color w:val="auto"/>
              </w:rPr>
            </w:pPr>
          </w:p>
        </w:tc>
        <w:tc>
          <w:tcPr>
            <w:tcW w:w="4020" w:type="dxa"/>
            <w:vAlign w:val="bottom"/>
            <w:gridSpan w:val="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41</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41</w:t>
            </w:r>
          </w:p>
        </w:tc>
      </w:tr>
      <w:tr>
        <w:trPr>
          <w:trHeight w:val="290"/>
        </w:trPr>
        <w:tc>
          <w:tcPr>
            <w:tcW w:w="10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160" w:type="dxa"/>
            <w:vAlign w:val="bottom"/>
            <w:tcBorders>
              <w:top w:val="single" w:sz="8" w:color="0000FF"/>
            </w:tcBorders>
          </w:tcPr>
          <w:p>
            <w:pPr>
              <w:spacing w:after="0"/>
              <w:rPr>
                <w:sz w:val="24"/>
                <w:szCs w:val="24"/>
                <w:color w:val="auto"/>
              </w:rPr>
            </w:pPr>
          </w:p>
        </w:tc>
        <w:tc>
          <w:tcPr>
            <w:tcW w:w="7760" w:type="dxa"/>
            <w:vAlign w:val="bottom"/>
            <w:gridSpan w:val="16"/>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42</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7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86,787</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285,884</w:t>
            </w:r>
          </w:p>
        </w:tc>
        <w:tc>
          <w:tcPr>
            <w:tcW w:w="100" w:type="dxa"/>
            <w:vAlign w:val="bottom"/>
          </w:tcPr>
          <w:p>
            <w:pPr>
              <w:spacing w:after="0"/>
              <w:rPr>
                <w:sz w:val="18"/>
                <w:szCs w:val="18"/>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$16,311 as of September 30,</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2026, and $21,411 as of December 31, 2025</w:t>
            </w: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84,762</w:t>
            </w:r>
          </w:p>
        </w:tc>
        <w:tc>
          <w:tcPr>
            <w:tcW w:w="100" w:type="dxa"/>
            <w:vAlign w:val="bottom"/>
            <w:shd w:val="clear" w:color="auto" w:fill="CFF0FC"/>
          </w:tcPr>
          <w:p>
            <w:pPr>
              <w:spacing w:after="0"/>
              <w:rPr>
                <w:sz w:val="20"/>
                <w:szCs w:val="20"/>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107,099</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550,490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359,550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369,269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100" w:type="dxa"/>
            <w:vAlign w:val="bottom"/>
          </w:tcPr>
          <w:p>
            <w:pPr>
              <w:spacing w:after="0"/>
              <w:rPr>
                <w:sz w:val="18"/>
                <w:szCs w:val="18"/>
                <w:color w:val="auto"/>
              </w:rPr>
            </w:pPr>
          </w:p>
        </w:tc>
      </w:tr>
      <w:tr>
        <w:trPr>
          <w:trHeight w:val="24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1,078,929</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1,213,525</w:t>
            </w:r>
          </w:p>
        </w:tc>
        <w:tc>
          <w:tcPr>
            <w:tcW w:w="100" w:type="dxa"/>
            <w:vAlign w:val="bottom"/>
            <w:shd w:val="clear" w:color="auto" w:fill="CFF0FC"/>
          </w:tcPr>
          <w:p>
            <w:pPr>
              <w:spacing w:after="0"/>
              <w:rPr>
                <w:sz w:val="21"/>
                <w:szCs w:val="21"/>
                <w:color w:val="auto"/>
              </w:rPr>
            </w:pPr>
          </w:p>
        </w:tc>
      </w:tr>
      <w:tr>
        <w:trPr>
          <w:trHeight w:val="197"/>
        </w:trPr>
        <w:tc>
          <w:tcPr>
            <w:tcW w:w="7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28,145</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current</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84,967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18"/>
                <w:szCs w:val="18"/>
                <w:color w:val="auto"/>
              </w:rPr>
            </w:pP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94,221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50,000 shares authorized, 35,320 shares issued and</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27,763 shares outstanding as of September 30, 2026, and 34,501 shares issued and 31,081 shares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September 30, 2026, and December 31, 2025</w:t>
            </w: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574,520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(3,525)</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529,954</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1,111,989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(5,274)</w:t>
            </w:r>
          </w:p>
        </w:tc>
      </w:tr>
      <w:tr>
        <w:trPr>
          <w:trHeight w:val="209"/>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984,708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1,106,715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1,078,929</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1,213,525</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-4782820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-3668395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-3651250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-1979295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8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246,939</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141,042</w:t>
            </w:r>
          </w:p>
        </w:tc>
        <w:tc>
          <w:tcPr>
            <w:tcW w:w="120" w:type="dxa"/>
            <w:vAlign w:val="bottom"/>
          </w:tcPr>
          <w:p>
            <w:pPr>
              <w:spacing w:after="0"/>
              <w:rPr>
                <w:sz w:val="18"/>
                <w:szCs w:val="18"/>
                <w:color w:val="auto"/>
              </w:rPr>
            </w:pPr>
          </w:p>
        </w:tc>
      </w:tr>
      <w:tr>
        <w:trPr>
          <w:trHeight w:val="210"/>
        </w:trPr>
        <w:tc>
          <w:tcPr>
            <w:tcW w:w="4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77,640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75,018</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172,358</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153,151</w:t>
            </w:r>
          </w:p>
        </w:tc>
        <w:tc>
          <w:tcPr>
            <w:tcW w:w="120" w:type="dxa"/>
            <w:vAlign w:val="bottom"/>
            <w:tcBorders>
              <w:top w:val="single" w:sz="8" w:color="CFF0FC"/>
            </w:tcBorders>
          </w:tcPr>
          <w:p>
            <w:pPr>
              <w:spacing w:after="0"/>
              <w:rPr>
                <w:sz w:val="18"/>
                <w:szCs w:val="18"/>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(22,547)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(15,350)</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(93,242)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(54,858)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equity securities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(9,926)</w:t>
            </w: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r>
      <w:tr>
        <w:trPr>
          <w:trHeight w:val="210"/>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6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(7,509)</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(40,751)</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(683)</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(2,770)</w:t>
            </w:r>
          </w:p>
        </w:tc>
      </w:tr>
      <w:tr>
        <w:trPr>
          <w:trHeight w:val="20"/>
        </w:trPr>
        <w:tc>
          <w:tcPr>
            <w:tcW w:w="42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(6,826)</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(37,981)</w:t>
            </w:r>
          </w:p>
        </w:tc>
      </w:tr>
      <w:tr>
        <w:trPr>
          <w:trHeight w:val="216"/>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6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(13,152)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(6,608)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(67,508)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(37,095)</w:t>
            </w:r>
          </w:p>
        </w:tc>
      </w:tr>
      <w:tr>
        <w:trPr>
          <w:trHeight w:val="20"/>
        </w:trPr>
        <w:tc>
          <w:tcPr>
            <w:tcW w:w="4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attributable to Fulgent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-3651250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-3651250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-3651250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-3651250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-2819400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-2819400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-2819400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-1696720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-1696720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-1696720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-1414145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-1414145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-1414145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-1414145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-1130935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-1130935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-1130935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from consolidated operations</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(13,339)</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(6,826)</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(68,332)</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(37,981)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income</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gain on available-for-sale debt securities, net of tax</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comprehensive loss from consolidated operations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(18,745)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(79,052)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(30,966)</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Foreign currency translation (gain) loss attributable to noncontrolling</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noncontrolling interest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Fulgent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(18,597)</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(5,783)</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(78,545)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(29,904)</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-316865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-316865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-316865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nsive</w:t>
            </w: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2"/>
                <w:szCs w:val="12"/>
                <w:color w:val="auto"/>
              </w:rPr>
            </w:pPr>
          </w:p>
        </w:tc>
        <w:tc>
          <w:tcPr>
            <w:tcW w:w="6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rs’ Equity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32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1,111,98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31,081</w:t>
            </w:r>
          </w:p>
        </w:tc>
        <w:tc>
          <w:tcPr>
            <w:tcW w:w="26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574,520</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7,512</w:t>
            </w:r>
          </w:p>
        </w:tc>
        <w:tc>
          <w:tcPr>
            <w:tcW w:w="16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$ 529,954</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(5,274)</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1,106,715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(4,200)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(4,200)</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(2,599)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(40,078)</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(40,078)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(40,078)</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(2,976)</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(2,976)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(2,909)</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(24,826)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(448)</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(25,274)</w:t>
            </w:r>
          </w:p>
        </w:tc>
        <w:tc>
          <w:tcPr>
            <w:tcW w:w="0" w:type="dxa"/>
            <w:vAlign w:val="bottom"/>
          </w:tcPr>
          <w:p>
            <w:pPr>
              <w:spacing w:after="0"/>
              <w:rPr>
                <w:sz w:val="1"/>
                <w:szCs w:val="1"/>
                <w:color w:val="auto"/>
              </w:rPr>
            </w:pPr>
          </w:p>
        </w:tc>
      </w:tr>
      <w:tr>
        <w:trPr>
          <w:trHeight w:val="180"/>
        </w:trPr>
        <w:tc>
          <w:tcPr>
            <w:tcW w:w="32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1,049,80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28,851</w:t>
            </w:r>
          </w:p>
        </w:tc>
        <w:tc>
          <w:tcPr>
            <w:tcW w:w="26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540,141</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4,536</w:t>
            </w:r>
          </w:p>
        </w:tc>
        <w:tc>
          <w:tcPr>
            <w:tcW w:w="16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$ 505,128</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(5,655)</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1,044,154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8,624</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8,624</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8,624</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(1,523)</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(24,336)</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(24,336)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(24,336)</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(2,616)</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(2,616)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(29,530)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(29,530)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(29,719)</w:t>
            </w:r>
          </w:p>
        </w:tc>
        <w:tc>
          <w:tcPr>
            <w:tcW w:w="0" w:type="dxa"/>
            <w:vAlign w:val="bottom"/>
          </w:tcPr>
          <w:p>
            <w:pPr>
              <w:spacing w:after="0"/>
              <w:rPr>
                <w:sz w:val="1"/>
                <w:szCs w:val="1"/>
                <w:color w:val="auto"/>
              </w:rPr>
            </w:pPr>
          </w:p>
        </w:tc>
      </w:tr>
      <w:tr>
        <w:trPr>
          <w:trHeight w:val="180"/>
        </w:trPr>
        <w:tc>
          <w:tcPr>
            <w:tcW w:w="32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1,001,61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2026</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27,515</w:t>
            </w:r>
          </w:p>
        </w:tc>
        <w:tc>
          <w:tcPr>
            <w:tcW w:w="26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524,097</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1,920</w:t>
            </w:r>
          </w:p>
        </w:tc>
        <w:tc>
          <w:tcPr>
            <w:tcW w:w="16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$ 475,598</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(5,633)</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995,986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8,120</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8,120</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(5,445)</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(5,445)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(5,406)</w:t>
            </w:r>
          </w:p>
        </w:tc>
        <w:tc>
          <w:tcPr>
            <w:tcW w:w="0" w:type="dxa"/>
            <w:vAlign w:val="bottom"/>
          </w:tcPr>
          <w:p>
            <w:pPr>
              <w:spacing w:after="0"/>
              <w:rPr>
                <w:sz w:val="1"/>
                <w:szCs w:val="1"/>
                <w:color w:val="auto"/>
              </w:rPr>
            </w:pPr>
          </w:p>
        </w:tc>
      </w:tr>
      <w:tr>
        <w:trPr>
          <w:trHeight w:val="161"/>
        </w:trPr>
        <w:tc>
          <w:tcPr>
            <w:tcW w:w="3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Contingently issuable shares in a business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combination</w:t>
            </w:r>
            <w:r>
              <w:rPr>
                <w:rFonts w:ascii="Times New Roman" w:cs="Times New Roman" w:eastAsia="Times New Roman" w:hAnsi="Times New Roman"/>
                <w:sz w:val="21"/>
                <w:szCs w:val="21"/>
                <w:color w:val="auto"/>
                <w:vertAlign w:val="superscript"/>
              </w:rPr>
              <w:t>(1)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(13,152)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(13,152)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(187)</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(13,339)</w:t>
            </w: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27,763</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531,564</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(3,525)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$ 462,446</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990,489</w:t>
            </w:r>
          </w:p>
        </w:tc>
        <w:tc>
          <w:tcPr>
            <w:tcW w:w="14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(5,781)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984,708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-4114165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-4097020</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-4114165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-4097020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-4114165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-4097020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-4114165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-4097020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-4114165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-4097020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-4114165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-4097020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-4114165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-4097020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-2794000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-2776855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-2794000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-2776855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-2794000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-2776855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-2794000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-2776855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-2794000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-2776855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-2794000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-2776855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-2794000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-2776855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-1473835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-1456690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-1473835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-1456690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-1473835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-1456690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-1473835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-1456690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-1473835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-1456690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-1473835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-1456690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-1473835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-1456690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-162560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-162560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-162560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-162560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-162560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-162560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right="60" w:firstLine="8"/>
        <w:spacing w:after="0" w:line="270" w:lineRule="auto"/>
        <w:tabs>
          <w:tab w:leader="none" w:pos="22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agreed to issue up to 292,682 shares of the Company’s common stock in the acquisition of ANP Technologies, Inc., or ANP, upon achieving certain cash receipts. $5.7 million represented the fair value of the shares on the ANP acquisition date (as defined below). As of September 30, 2026, certain milestones have been met, and 143,023 shares of the Company's common stock were issued in October 2026. A portion of the earnout was settled in cash, rather than shares of common stock, for holders that were not accredited investors, as required by the agreement and plan of merger, as amended, by and among the Company, ANP, and other parties thereto, or the ANP Merger Agreement, which was also paid in October 2026. The $65,000 reflects the reclassification to a liability of the portion of the first milestone settled in cash. Refer to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for additional details. 146,341 shares of the Company's common stock remain issuable dependent on the achievement of additional milestones.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nsive</w:t>
            </w: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rs’ Equity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32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1,133,22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30,841</w:t>
            </w:r>
          </w:p>
        </w:tc>
        <w:tc>
          <w:tcPr>
            <w:tcW w:w="26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543,126</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(368)</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$ 590,467</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(4,069)</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1,129,159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05"/>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(7,886)</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(7,886)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(7,886)</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(11,530)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(11,530)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(369)</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(11,899)</w:t>
            </w:r>
          </w:p>
        </w:tc>
        <w:tc>
          <w:tcPr>
            <w:tcW w:w="0" w:type="dxa"/>
            <w:vAlign w:val="bottom"/>
          </w:tcPr>
          <w:p>
            <w:pPr>
              <w:spacing w:after="0"/>
              <w:rPr>
                <w:sz w:val="1"/>
                <w:szCs w:val="1"/>
                <w:color w:val="auto"/>
              </w:rPr>
            </w:pPr>
          </w:p>
        </w:tc>
      </w:tr>
      <w:tr>
        <w:trPr>
          <w:trHeight w:val="180"/>
        </w:trPr>
        <w:tc>
          <w:tcPr>
            <w:tcW w:w="324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1,127,17</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30,621</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543,903</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4,335</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$ 578,937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(4,408)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1,122,770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(2,998)</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(2,998)</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(237)</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(18,957)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(18,957)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(299)</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(19,256)</w:t>
            </w:r>
          </w:p>
        </w:tc>
        <w:tc>
          <w:tcPr>
            <w:tcW w:w="0" w:type="dxa"/>
            <w:vAlign w:val="bottom"/>
          </w:tcPr>
          <w:p>
            <w:pPr>
              <w:spacing w:after="0"/>
              <w:rPr>
                <w:sz w:val="1"/>
                <w:szCs w:val="1"/>
                <w:color w:val="auto"/>
              </w:rPr>
            </w:pPr>
          </w:p>
        </w:tc>
      </w:tr>
      <w:tr>
        <w:trPr>
          <w:trHeight w:val="180"/>
        </w:trPr>
        <w:tc>
          <w:tcPr>
            <w:tcW w:w="32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1,116,58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30,608</w:t>
            </w:r>
          </w:p>
        </w:tc>
        <w:tc>
          <w:tcPr>
            <w:tcW w:w="26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550,599</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5,998</w:t>
            </w:r>
          </w:p>
        </w:tc>
        <w:tc>
          <w:tcPr>
            <w:tcW w:w="16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$ 559,980</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(4,944)</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1,111,636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164"/>
        </w:trPr>
        <w:tc>
          <w:tcPr>
            <w:tcW w:w="32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Contingently issuable shares in a business</w:t>
            </w: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combination </w:t>
            </w:r>
            <w:r>
              <w:rPr>
                <w:rFonts w:ascii="Times New Roman" w:cs="Times New Roman" w:eastAsia="Times New Roman" w:hAnsi="Times New Roman"/>
                <w:sz w:val="21"/>
                <w:szCs w:val="21"/>
                <w:color w:val="auto"/>
                <w:vertAlign w:val="superscript"/>
              </w:rPr>
              <w:t>(1)</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(6,608)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(6,608)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(218)</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(6,826)</w:t>
            </w:r>
          </w:p>
        </w:tc>
        <w:tc>
          <w:tcPr>
            <w:tcW w:w="0" w:type="dxa"/>
            <w:vAlign w:val="bottom"/>
          </w:tcPr>
          <w:p>
            <w:pPr>
              <w:spacing w:after="0"/>
              <w:rPr>
                <w:sz w:val="1"/>
                <w:szCs w:val="1"/>
                <w:color w:val="auto"/>
              </w:rPr>
            </w:pPr>
          </w:p>
        </w:tc>
      </w:tr>
      <w:tr>
        <w:trPr>
          <w:trHeight w:val="180"/>
        </w:trPr>
        <w:tc>
          <w:tcPr>
            <w:tcW w:w="324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1,125,88</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30,854</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565,690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6,823</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$ 553,372</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(5,131)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1,120,757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-3728085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-3710940</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-3728085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-3710940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-3728085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-3710940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-3728085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-3710940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-3728085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-3710940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-3728085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-3710940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-3728085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-3710940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-3710940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-2802890</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-2802890</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-2802890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-2802890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-2802890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-2802890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-2802890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-2802890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-1345565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-1328420</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-1345565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-1328420</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-1345565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-1328420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-1345565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-1328420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-1345565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-1328420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-1345565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-1328420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-1345565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-1328420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-290830</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-290830</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-290830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-290830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-290830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-290830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-290830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right="500" w:firstLine="8"/>
        <w:spacing w:after="0" w:line="298"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agreed to issue up to 292,682 shares of the Company’s common stock in the acquisition of ANP, upon achieving certain cash receipts. $5.7 million represented the fair value of the shares on the ANP acquisition date.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FULGENT GENETICS,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7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operating activities:</w:t>
            </w:r>
          </w:p>
        </w:tc>
        <w:tc>
          <w:tcPr>
            <w:tcW w:w="9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 from consolidated operations</w:t>
            </w:r>
          </w:p>
        </w:tc>
        <w:tc>
          <w:tcPr>
            <w:tcW w:w="960" w:type="dxa"/>
            <w:vAlign w:val="bottom"/>
          </w:tcPr>
          <w:p>
            <w:pPr>
              <w:jc w:val="right"/>
              <w:ind w:right="8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(68,332)</w:t>
            </w:r>
          </w:p>
        </w:tc>
        <w:tc>
          <w:tcPr>
            <w:tcW w:w="1040" w:type="dxa"/>
            <w:vAlign w:val="bottom"/>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(37,981)</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provided by (used in) operating activities: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9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26,634</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30,306</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20,492</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18,011</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 for credit losses</w:t>
            </w:r>
          </w:p>
        </w:tc>
        <w:tc>
          <w:tcPr>
            <w:tcW w:w="9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4,171</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5,794</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Noncash lease expense</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1,403</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1,197</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Loss (gain) on disposal of fixed asset</w:t>
            </w:r>
          </w:p>
        </w:tc>
        <w:tc>
          <w:tcPr>
            <w:tcW w:w="9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Amortization of premium/(Accretion of discount) on marketable securities</w:t>
            </w:r>
          </w:p>
        </w:tc>
        <w:tc>
          <w:tcPr>
            <w:tcW w:w="9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(2,291)</w:t>
            </w: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(4,161)</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Deferred taxes</w:t>
            </w:r>
          </w:p>
        </w:tc>
        <w:tc>
          <w:tcPr>
            <w:tcW w:w="96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(1,145)</w:t>
            </w:r>
          </w:p>
        </w:tc>
        <w:tc>
          <w:tcPr>
            <w:tcW w:w="104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(1,110)</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Unrecognized tax benefits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288</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437</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realized gain on marketable securities</w:t>
            </w:r>
          </w:p>
        </w:tc>
        <w:tc>
          <w:tcPr>
            <w:tcW w:w="96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(93)</w:t>
            </w:r>
          </w:p>
        </w:tc>
        <w:tc>
          <w:tcPr>
            <w:tcW w:w="104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Impairment of equity securities</w:t>
            </w:r>
          </w:p>
        </w:tc>
        <w:tc>
          <w:tcPr>
            <w:tcW w:w="9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9,926</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Impairment of intangible assets</w:t>
            </w:r>
          </w:p>
        </w:tc>
        <w:tc>
          <w:tcPr>
            <w:tcW w:w="9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2,172</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Trade accounts receivable</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20,349</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(7,874)</w:t>
            </w: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Income tax</w:t>
            </w:r>
          </w:p>
        </w:tc>
        <w:tc>
          <w:tcPr>
            <w:tcW w:w="9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105,592</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(33,056)</w:t>
            </w: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Other current and long-term assets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2,026</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(1,025)</w:t>
            </w: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96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(2,498)</w:t>
            </w:r>
          </w:p>
        </w:tc>
        <w:tc>
          <w:tcPr>
            <w:tcW w:w="104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(374)</w:t>
            </w: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Contract liabilities</w:t>
            </w:r>
          </w:p>
        </w:tc>
        <w:tc>
          <w:tcPr>
            <w:tcW w:w="9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(1,011)</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Customer deposits</w:t>
            </w:r>
          </w:p>
        </w:tc>
        <w:tc>
          <w:tcPr>
            <w:tcW w:w="9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1,565</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Accrued liabilities and other liabilities</w:t>
            </w:r>
          </w:p>
        </w:tc>
        <w:tc>
          <w:tcPr>
            <w:tcW w:w="9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(15,354)</w:t>
            </w: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(3,414)</w:t>
            </w: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96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(1,409)</w:t>
            </w:r>
          </w:p>
        </w:tc>
        <w:tc>
          <w:tcPr>
            <w:tcW w:w="104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(1,179)</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60" w:type="dxa"/>
            <w:vAlign w:val="bottom"/>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9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92,571</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(23,495)</w:t>
            </w:r>
          </w:p>
        </w:tc>
      </w:tr>
      <w:tr>
        <w:trPr>
          <w:trHeight w:val="155"/>
        </w:trPr>
        <w:tc>
          <w:tcPr>
            <w:tcW w:w="77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investing activities:</w:t>
            </w:r>
          </w:p>
        </w:tc>
        <w:tc>
          <w:tcPr>
            <w:tcW w:w="9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Maturities of marketable securities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166,205</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132,910</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sale of fixed assets</w:t>
            </w:r>
          </w:p>
        </w:tc>
        <w:tc>
          <w:tcPr>
            <w:tcW w:w="9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sale of marketable securities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37,193</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 of marketable securities</w:t>
            </w:r>
          </w:p>
        </w:tc>
        <w:tc>
          <w:tcPr>
            <w:tcW w:w="96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(123,005)</w:t>
            </w:r>
          </w:p>
        </w:tc>
        <w:tc>
          <w:tcPr>
            <w:tcW w:w="104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(18,879)</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fixed assets</w:t>
            </w:r>
          </w:p>
        </w:tc>
        <w:tc>
          <w:tcPr>
            <w:tcW w:w="9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(10,848)</w:t>
            </w: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(17,594)</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Acquisition of businesses, net of cash</w:t>
            </w:r>
          </w:p>
        </w:tc>
        <w:tc>
          <w:tcPr>
            <w:tcW w:w="96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(55,853)</w:t>
            </w:r>
          </w:p>
        </w:tc>
        <w:tc>
          <w:tcPr>
            <w:tcW w:w="104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3,775</w:t>
            </w:r>
          </w:p>
        </w:tc>
        <w:tc>
          <w:tcPr>
            <w:tcW w:w="100" w:type="dxa"/>
            <w:vAlign w:val="bottom"/>
          </w:tcPr>
          <w:p>
            <w:pPr>
              <w:spacing w:after="0"/>
              <w:rPr>
                <w:sz w:val="14"/>
                <w:szCs w:val="14"/>
                <w:color w:val="auto"/>
              </w:rPr>
            </w:pPr>
          </w:p>
        </w:tc>
      </w:tr>
      <w:tr>
        <w:trPr>
          <w:trHeight w:val="155"/>
        </w:trPr>
        <w:tc>
          <w:tcPr>
            <w:tcW w:w="7760" w:type="dxa"/>
            <w:vAlign w:val="bottom"/>
            <w:tcBorders>
              <w:bottom w:val="single" w:sz="8" w:color="CFF0FC"/>
            </w:tcBorders>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provided by investing activities</w:t>
            </w:r>
          </w:p>
        </w:tc>
        <w:tc>
          <w:tcPr>
            <w:tcW w:w="96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13,700</w:t>
            </w:r>
          </w:p>
        </w:tc>
        <w:tc>
          <w:tcPr>
            <w:tcW w:w="26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100,217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7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financing activities:</w:t>
            </w: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9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(64,134)</w:t>
            </w: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(10,884)</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Common stock withholding for employee tax obligations</w:t>
            </w:r>
          </w:p>
        </w:tc>
        <w:tc>
          <w:tcPr>
            <w:tcW w:w="96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(4,914)</w:t>
            </w:r>
          </w:p>
        </w:tc>
        <w:tc>
          <w:tcPr>
            <w:tcW w:w="104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(2,589)</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Repayment of notes payable</w:t>
            </w:r>
          </w:p>
        </w:tc>
        <w:tc>
          <w:tcPr>
            <w:tcW w:w="9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(476)</w:t>
            </w: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(471)</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Principal paid for finance lease</w:t>
            </w:r>
          </w:p>
        </w:tc>
        <w:tc>
          <w:tcPr>
            <w:tcW w:w="96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(269)</w:t>
            </w:r>
          </w:p>
        </w:tc>
        <w:tc>
          <w:tcPr>
            <w:tcW w:w="104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(311)</w:t>
            </w:r>
          </w:p>
        </w:tc>
      </w:tr>
      <w:tr>
        <w:trPr>
          <w:trHeight w:val="162"/>
        </w:trPr>
        <w:tc>
          <w:tcPr>
            <w:tcW w:w="7760" w:type="dxa"/>
            <w:vAlign w:val="bottom"/>
            <w:tcBorders>
              <w:bottom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26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960" w:type="dxa"/>
            <w:vAlign w:val="bottom"/>
          </w:tcPr>
          <w:p>
            <w:pPr>
              <w:spacing w:after="0"/>
              <w:rPr>
                <w:sz w:val="13"/>
                <w:szCs w:val="13"/>
                <w:color w:val="auto"/>
              </w:rPr>
            </w:pPr>
          </w:p>
        </w:tc>
        <w:tc>
          <w:tcPr>
            <w:tcW w:w="84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(69,782)</w:t>
            </w:r>
          </w:p>
        </w:tc>
        <w:tc>
          <w:tcPr>
            <w:tcW w:w="1040" w:type="dxa"/>
            <w:vAlign w:val="bottom"/>
          </w:tcPr>
          <w:p>
            <w:pPr>
              <w:spacing w:after="0"/>
              <w:rPr>
                <w:sz w:val="13"/>
                <w:szCs w:val="13"/>
                <w:color w:val="auto"/>
              </w:rPr>
            </w:pPr>
          </w:p>
        </w:tc>
        <w:tc>
          <w:tcPr>
            <w:tcW w:w="6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(14,255)</w:t>
            </w:r>
          </w:p>
        </w:tc>
      </w:tr>
      <w:tr>
        <w:trPr>
          <w:trHeight w:val="155"/>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96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105</w:t>
            </w:r>
          </w:p>
        </w:tc>
        <w:tc>
          <w:tcPr>
            <w:tcW w:w="26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increase in cash, cash equivalents, and restricted cash</w:t>
            </w:r>
          </w:p>
        </w:tc>
        <w:tc>
          <w:tcPr>
            <w:tcW w:w="9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36,594</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62,497</w:t>
            </w:r>
          </w:p>
        </w:tc>
        <w:tc>
          <w:tcPr>
            <w:tcW w:w="100" w:type="dxa"/>
            <w:vAlign w:val="bottom"/>
          </w:tcPr>
          <w:p>
            <w:pPr>
              <w:spacing w:after="0"/>
              <w:rPr>
                <w:sz w:val="14"/>
                <w:szCs w:val="14"/>
                <w:color w:val="auto"/>
              </w:rPr>
            </w:pPr>
          </w:p>
        </w:tc>
      </w:tr>
      <w:tr>
        <w:trPr>
          <w:trHeight w:val="162"/>
        </w:trPr>
        <w:tc>
          <w:tcPr>
            <w:tcW w:w="776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50,328</w:t>
            </w:r>
          </w:p>
        </w:tc>
        <w:tc>
          <w:tcPr>
            <w:tcW w:w="26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55,279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960" w:type="dxa"/>
            <w:vAlign w:val="bottom"/>
            <w:tcBorders>
              <w:bottom w:val="single" w:sz="8" w:color="auto"/>
            </w:tcBorders>
          </w:tcPr>
          <w:p>
            <w:pPr>
              <w:jc w:val="right"/>
              <w:ind w:right="8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86,922</w:t>
            </w:r>
          </w:p>
        </w:tc>
        <w:tc>
          <w:tcPr>
            <w:tcW w:w="260" w:type="dxa"/>
            <w:vAlign w:val="bottom"/>
          </w:tcPr>
          <w:p>
            <w:pPr>
              <w:spacing w:after="0"/>
              <w:rPr>
                <w:sz w:val="13"/>
                <w:szCs w:val="13"/>
                <w:color w:val="auto"/>
              </w:rPr>
            </w:pPr>
          </w:p>
        </w:tc>
        <w:tc>
          <w:tcPr>
            <w:tcW w:w="1040" w:type="dxa"/>
            <w:vAlign w:val="bottom"/>
            <w:tcBorders>
              <w:bottom w:val="single" w:sz="8" w:color="auto"/>
            </w:tcBorders>
          </w:tcPr>
          <w:p>
            <w:pPr>
              <w:jc w:val="right"/>
              <w:ind w:right="8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117,776</w:t>
            </w:r>
          </w:p>
        </w:tc>
        <w:tc>
          <w:tcPr>
            <w:tcW w:w="100" w:type="dxa"/>
            <w:vAlign w:val="bottom"/>
          </w:tcPr>
          <w:p>
            <w:pPr>
              <w:spacing w:after="0"/>
              <w:rPr>
                <w:sz w:val="13"/>
                <w:szCs w:val="13"/>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76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9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Income taxes paid, net of refunds received</w:t>
            </w:r>
          </w:p>
        </w:tc>
        <w:tc>
          <w:tcPr>
            <w:tcW w:w="960" w:type="dxa"/>
            <w:vAlign w:val="bottom"/>
          </w:tcPr>
          <w:p>
            <w:pPr>
              <w:jc w:val="right"/>
              <w:ind w:right="8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(112,234)</w:t>
            </w:r>
          </w:p>
        </w:tc>
        <w:tc>
          <w:tcPr>
            <w:tcW w:w="1040" w:type="dxa"/>
            <w:vAlign w:val="bottom"/>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31,100</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960" w:type="dxa"/>
            <w:vAlign w:val="bottom"/>
            <w:shd w:val="clear" w:color="auto" w:fill="CFF0FC"/>
          </w:tcPr>
          <w:p>
            <w:pPr>
              <w:jc w:val="right"/>
              <w:ind w:right="8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94</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disclosures of non-cash investing and financing activities:</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60" w:type="dxa"/>
            <w:vAlign w:val="bottom"/>
            <w:shd w:val="clear" w:color="auto" w:fill="CFF0FC"/>
          </w:tcPr>
          <w:p>
            <w:pPr>
              <w:ind w:left="140"/>
              <w:spacing w:after="0" w:line="176" w:lineRule="exact"/>
              <w:rPr>
                <w:sz w:val="20"/>
                <w:szCs w:val="20"/>
                <w:color w:val="auto"/>
              </w:rPr>
            </w:pPr>
            <w:r>
              <w:rPr>
                <w:rFonts w:ascii="Times New Roman" w:cs="Times New Roman" w:eastAsia="Times New Roman" w:hAnsi="Times New Roman"/>
                <w:sz w:val="15"/>
                <w:szCs w:val="15"/>
                <w:color w:val="auto"/>
              </w:rPr>
              <w:t>Contingent consideration for business acquisition included in additional paid-in capital</w:t>
            </w:r>
            <w:r>
              <w:rPr>
                <w:rFonts w:ascii="Times New Roman" w:cs="Times New Roman" w:eastAsia="Times New Roman" w:hAnsi="Times New Roman"/>
                <w:sz w:val="20"/>
                <w:szCs w:val="20"/>
                <w:color w:val="auto"/>
                <w:vertAlign w:val="superscript"/>
              </w:rPr>
              <w:t>(1)</w:t>
            </w:r>
          </w:p>
        </w:tc>
        <w:tc>
          <w:tcPr>
            <w:tcW w:w="96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(65)</w:t>
            </w:r>
          </w:p>
        </w:tc>
        <w:tc>
          <w:tcPr>
            <w:tcW w:w="104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5,731</w:t>
            </w:r>
          </w:p>
        </w:tc>
        <w:tc>
          <w:tcPr>
            <w:tcW w:w="100" w:type="dxa"/>
            <w:vAlign w:val="bottom"/>
            <w:shd w:val="clear" w:color="auto" w:fill="CFF0FC"/>
          </w:tcPr>
          <w:p>
            <w:pPr>
              <w:spacing w:after="0"/>
              <w:rPr>
                <w:sz w:val="15"/>
                <w:szCs w:val="15"/>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fixed assets in accounts payable</w:t>
            </w:r>
          </w:p>
        </w:tc>
        <w:tc>
          <w:tcPr>
            <w:tcW w:w="960" w:type="dxa"/>
            <w:vAlign w:val="bottom"/>
          </w:tcPr>
          <w:p>
            <w:pPr>
              <w:jc w:val="right"/>
              <w:ind w:right="8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509</w:t>
            </w:r>
          </w:p>
        </w:tc>
        <w:tc>
          <w:tcPr>
            <w:tcW w:w="260" w:type="dxa"/>
            <w:vAlign w:val="bottom"/>
          </w:tcPr>
          <w:p>
            <w:pPr>
              <w:spacing w:after="0"/>
              <w:rPr>
                <w:sz w:val="14"/>
                <w:szCs w:val="14"/>
                <w:color w:val="auto"/>
              </w:rPr>
            </w:pPr>
          </w:p>
        </w:tc>
        <w:tc>
          <w:tcPr>
            <w:tcW w:w="1040" w:type="dxa"/>
            <w:vAlign w:val="bottom"/>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2,071</w:t>
            </w:r>
          </w:p>
        </w:tc>
        <w:tc>
          <w:tcPr>
            <w:tcW w:w="100" w:type="dxa"/>
            <w:vAlign w:val="bottom"/>
          </w:tcPr>
          <w:p>
            <w:pPr>
              <w:spacing w:after="0"/>
              <w:rPr>
                <w:sz w:val="14"/>
                <w:szCs w:val="14"/>
                <w:color w:val="auto"/>
              </w:rPr>
            </w:pPr>
          </w:p>
        </w:tc>
      </w:tr>
      <w:tr>
        <w:trPr>
          <w:trHeight w:val="175"/>
        </w:trPr>
        <w:tc>
          <w:tcPr>
            <w:tcW w:w="7760" w:type="dxa"/>
            <w:vAlign w:val="bottom"/>
            <w:shd w:val="clear" w:color="auto" w:fill="CFF0FC"/>
          </w:tcPr>
          <w:p>
            <w:pPr>
              <w:ind w:left="140"/>
              <w:spacing w:after="0" w:line="176" w:lineRule="exact"/>
              <w:rPr>
                <w:sz w:val="20"/>
                <w:szCs w:val="20"/>
                <w:color w:val="auto"/>
              </w:rPr>
            </w:pPr>
            <w:r>
              <w:rPr>
                <w:rFonts w:ascii="Times New Roman" w:cs="Times New Roman" w:eastAsia="Times New Roman" w:hAnsi="Times New Roman"/>
                <w:sz w:val="15"/>
                <w:szCs w:val="15"/>
                <w:color w:val="auto"/>
              </w:rPr>
              <w:t>Holdback for acquisition of business included in other long-term liabilities</w:t>
            </w:r>
            <w:r>
              <w:rPr>
                <w:rFonts w:ascii="Times New Roman" w:cs="Times New Roman" w:eastAsia="Times New Roman" w:hAnsi="Times New Roman"/>
                <w:sz w:val="20"/>
                <w:szCs w:val="20"/>
                <w:color w:val="auto"/>
                <w:vertAlign w:val="superscript"/>
              </w:rPr>
              <w:t>(1)</w:t>
            </w:r>
          </w:p>
        </w:tc>
        <w:tc>
          <w:tcPr>
            <w:tcW w:w="96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1,887</w:t>
            </w:r>
          </w:p>
        </w:tc>
        <w:tc>
          <w:tcPr>
            <w:tcW w:w="100" w:type="dxa"/>
            <w:vAlign w:val="bottom"/>
            <w:shd w:val="clear" w:color="auto" w:fill="CFF0FC"/>
          </w:tcPr>
          <w:p>
            <w:pPr>
              <w:spacing w:after="0"/>
              <w:rPr>
                <w:sz w:val="15"/>
                <w:szCs w:val="15"/>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assets obtained in exchange for lease liabilities</w:t>
            </w:r>
          </w:p>
        </w:tc>
        <w:tc>
          <w:tcPr>
            <w:tcW w:w="960" w:type="dxa"/>
            <w:vAlign w:val="bottom"/>
          </w:tcPr>
          <w:p>
            <w:pPr>
              <w:jc w:val="right"/>
              <w:ind w:right="8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1,557</w:t>
            </w:r>
          </w:p>
        </w:tc>
        <w:tc>
          <w:tcPr>
            <w:tcW w:w="260" w:type="dxa"/>
            <w:vAlign w:val="bottom"/>
          </w:tcPr>
          <w:p>
            <w:pPr>
              <w:spacing w:after="0"/>
              <w:rPr>
                <w:sz w:val="14"/>
                <w:szCs w:val="14"/>
                <w:color w:val="auto"/>
              </w:rPr>
            </w:pPr>
          </w:p>
        </w:tc>
        <w:tc>
          <w:tcPr>
            <w:tcW w:w="1040" w:type="dxa"/>
            <w:vAlign w:val="bottom"/>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assets reduced due to lease modification and termination</w:t>
            </w:r>
          </w:p>
        </w:tc>
        <w:tc>
          <w:tcPr>
            <w:tcW w:w="960" w:type="dxa"/>
            <w:vAlign w:val="bottom"/>
            <w:shd w:val="clear" w:color="auto" w:fill="CFF0FC"/>
          </w:tcPr>
          <w:p>
            <w:pPr>
              <w:jc w:val="right"/>
              <w:ind w:right="8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(46)</w:t>
            </w:r>
          </w:p>
        </w:tc>
      </w:tr>
      <w:tr>
        <w:trPr>
          <w:trHeight w:val="198"/>
        </w:trPr>
        <w:tc>
          <w:tcPr>
            <w:tcW w:w="7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Excise tax payable on common stock repurchases not yet remitted</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260" w:type="dxa"/>
            <w:vAlign w:val="bottom"/>
          </w:tcPr>
          <w:p>
            <w:pPr>
              <w:spacing w:after="0"/>
              <w:rPr>
                <w:sz w:val="17"/>
                <w:szCs w:val="17"/>
                <w:color w:val="auto"/>
              </w:rPr>
            </w:pPr>
          </w:p>
        </w:tc>
        <w:tc>
          <w:tcPr>
            <w:tcW w:w="1040" w:type="dxa"/>
            <w:vAlign w:val="bottom"/>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-3100070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-3100070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-2259965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-1633855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-1205230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-1205230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 w:lineRule="exact"/>
        <w:rPr>
          <w:sz w:val="20"/>
          <w:szCs w:val="20"/>
          <w:color w:val="auto"/>
        </w:rPr>
      </w:pPr>
    </w:p>
    <w:p>
      <w:pPr>
        <w:ind w:left="2440" w:right="1440" w:hanging="2432"/>
        <w:spacing w:after="0" w:line="411" w:lineRule="auto"/>
        <w:tabs>
          <w:tab w:leader="none" w:pos="23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These non-cash activities are related to the acquisition of ANP. Refer to Note 15.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xml:space="preserve"> and Note 18. </w:t>
      </w:r>
      <w:r>
        <w:rPr>
          <w:rFonts w:ascii="Times New Roman" w:cs="Times New Roman" w:eastAsia="Times New Roman" w:hAnsi="Times New Roman"/>
          <w:sz w:val="15"/>
          <w:szCs w:val="15"/>
          <w:i w:val="1"/>
          <w:iCs w:val="1"/>
          <w:color w:val="auto"/>
        </w:rPr>
        <w:t>Subsequent Events</w:t>
      </w:r>
      <w:r>
        <w:rPr>
          <w:rFonts w:ascii="Times New Roman" w:cs="Times New Roman" w:eastAsia="Times New Roman" w:hAnsi="Times New Roman"/>
          <w:sz w:val="15"/>
          <w:szCs w:val="15"/>
          <w:color w:val="auto"/>
        </w:rPr>
        <w:t xml:space="preserve"> for further details. </w:t>
      </w: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or U.S. GAAP, and presented in U.S. dollars, or USD, the reporting currency of the Company.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requires otherwise), is a technology-based company with a well-established laboratory services business and a therapeutic development business. Its laboratory services business includes technical laboratory and testing services and professional interpretation of laboratory results by licensed physicians. Its therapeutic development business is focused on developing product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on the same basis as the Company’s audited consolidated financial statements as of and for the fiscal year ended December 31, 2025, which are included in the Company’s annual report on Form 10-K filed with the Securities and Exchange Commission, or SEC, on February 27, 2026, or the 2025 Annual Report, and, in the opinion of management, include all adjustments, which are normal and recurring in nature, necessary for a fair presentation of the Company’s financial position and results of operations.</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a full fiscal year or any other period. The accompanying Condensed Consolidated Balance Sheet as of December 31, 2025,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2025 Annual Report, including the notes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Company’s Consolidated Financial Statements included in the 2025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goodwill and indefinite-lived intangible assets at the time of acquisition and on a recurring basis, and (vi) valuation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 Shown in the Condensed Consolidated Statements of Cash Flows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in the Condensed Consolidated Balance Sheets that sum to the total of the same such amounts shown in the Condensed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86,787</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117,641</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20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86,922</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117,776</w:t>
            </w:r>
          </w:p>
        </w:tc>
        <w:tc>
          <w:tcPr>
            <w:tcW w:w="100" w:type="dxa"/>
            <w:vAlign w:val="bottom"/>
            <w:shd w:val="clear" w:color="auto" w:fill="CFF0FC"/>
          </w:tcPr>
          <w:p>
            <w:pPr>
              <w:spacing w:after="0"/>
              <w:rPr>
                <w:sz w:val="19"/>
                <w:szCs w:val="19"/>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Loss-given default represents the likelihood that a receivable that has reached the point of default will not be collected in full. The Company updates its loss rate and factors quarterly to incorporate the most recent historical data and adjusts the quantitative portion of the reserve through its qualitative reserve overlay. The Company looks at qualitative factors such as current internal and external conditions as of the balance sheet date in determining expected credit losses.</w:t>
      </w:r>
    </w:p>
    <w:p>
      <w:pPr>
        <w:spacing w:after="0" w:line="19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roll-forward of the activity in the Company’s allowance for credit losses for the nine months ended September 30, 2026, dollars in thousands,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44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w:t>
            </w:r>
          </w:p>
        </w:tc>
        <w:tc>
          <w:tcPr>
            <w:tcW w:w="14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w:t>
            </w:r>
          </w:p>
        </w:tc>
        <w:tc>
          <w:tcPr>
            <w:tcW w:w="14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(12,259)</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Recoveries of amounts previously charged off</w:t>
            </w:r>
          </w:p>
        </w:tc>
        <w:tc>
          <w:tcPr>
            <w:tcW w:w="14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as of September 30, 2026</w:t>
            </w:r>
          </w:p>
        </w:tc>
        <w:tc>
          <w:tcPr>
            <w:tcW w:w="1440" w:type="dxa"/>
            <w:vAlign w:val="bottom"/>
            <w:tcBorders>
              <w:bottom w:val="single" w:sz="8" w:color="auto"/>
            </w:tcBorders>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wrote off $12.3 million of trade accounts receivable, substantially all of which were related to institutional receivables from the Company’s COVID-19 testing business, which the Company ceased in 2023. These balances had been previously reserved, and the write-offs reflect the Company’s determination that collection efforts were exhausted and the balances were no longer collectible. The Company also received a recovery of approximately $3.0 million on amounts previously charged off, primarily related to collections on COVID-19-related insurance receivables.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60" w:firstLine="530"/>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with definite lives on a straight-line basis generally over periods ranging from 3 to 18 years. See Note 17.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details of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are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In-process research &amp; development, or IPR&amp;D, costs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carrying amount exceeds its fair value.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 quantitative assessment is deemed necessary, the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If the estimated fair value of a reporting unit exceeds its carrying value, the goodwill is not impaired, and no further review is required.</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weighted-average cost of capital. The income-based approach incorporates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assumptions and judgments regarding economic conditions in the markets in which a company operates and conditions in the capital markets, many of which are outside of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control. The market-based fair value methodology includes (i) the guideline public company valuation method, which analyzes the valuation multiples of comparable public companies, and (ii) the merger and acquisition method, which compares the market values of similar businesses, to estimate the value of the reporting units. Under the market-based approach, judgment is required in evaluating market multiples and recent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marketable securities, trade accounts receivable, restricted cash, a preferred stock investment, accounts payable, and accrued liabilities. The carrying amounts of certain of these financial instruments, including cash and cash equivalents, accounts receivable, accounts payable, and accrued liabilities approximate fair value due to their short maturities. The fair value of marketable securities and the preferred stock investment is disclosed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accompanying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As of September 30, 2026,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certain periods, a small number of customers or a single laboratory customer have accounted for a significant portion of the Company’s revenue. For the laboratory services segment, when customers who, to our knowledge, are under common control or otherwise affiliated with each other are aggregated, no single customer held a significant concentration of the Company's revenue in the three and nine months ended September 30, 2026. One laboratory customer comprised $19.2 million, or 23%, of total revenue in the three months ended September 30, 2025, and $54.4 million, or 23%, of total revenue in the nine months ended September 30, 2025. The same laboratory customer comprised 13% of total accounts receivable, net, as of December 31, 2025. No single laboratory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customer held a significant concentration of the Company's total accounts receivable, net, as of September 30, 2026. For our customers generally, tests are typically purchased on a test-by-test basis and not pursuant to any long-term purchasing arrangements. In the therapeutic development segment, revenue is an immaterial portion of the Company’s total revenue as it does not yet have any commercialized or approved product candidates.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for an acceptable replacement or temporary substitute. The Company’s development efforts could also be delayed or interrupted if it is unable to procure items needed for its therapeutic development activities. The Company believes there is currently a limited number of manufacturers that are capable of supplying and servicing some of the equipment and other materials necessary for its laboratory operations, including sequencers and various associated reagents.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 and Geographic Information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Reportable segments are identified as components of an enterprise for which separate discrete financial information is available for evaluation by the Chief Operating Decision-Maker, or CODM, in making decisions regarding resource allocation and assessing performance. The Company’s CODM is its Chief Executive Officer. The Company has two reportable segments: a laboratory services business and a therapeutic development business. For further financial information about these segments, including information for each of the periods presented regarding revenue, operating income (loss), and other important information, see Note 7. </w:t>
      </w:r>
      <w:r>
        <w:rPr>
          <w:rFonts w:ascii="Times New Roman" w:cs="Times New Roman" w:eastAsia="Times New Roman" w:hAnsi="Times New Roman"/>
          <w:sz w:val="18"/>
          <w:szCs w:val="18"/>
          <w:i w:val="1"/>
          <w:iCs w:val="1"/>
          <w:color w:val="auto"/>
        </w:rPr>
        <w:t>Reportable Segments and Geographic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non-USD functional currency subsidiaries into USD using exchange rates in effect at the end of each period. Expenses for these subsidiaries are translated using rates that approximate those in effect during the period. These unrealized gains and losses are recognized in accumulated other comprehensive income in the equity section of the accompanying Condensed Consolidated Balance Sheets, and do not impact net income.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that use the USD as their functional currency remeasure monetary assets and liabilities at exchange rates in effect at the end of each period. The carrying value of these monetary assets and liabilities will change with exchange rate fluctuations resulting in a foreign currency transaction gain or loss which is recognized in other income, net in the Condensed Consolidated Statements of Operations. Reagents and supplies, property, and other nonmonetary assets and liabilities are remeasured when the transaction is initially recognized using the historical rate that was in effect when the asset was acquired or liability was incurred. The carrying amounts do not change as a result of exchange rate fluctuations and no foreign currency transaction gain or loss is recognized. Gains and losses from foreign currency exchange were not significant for the three and nine months ended September 30, 2026, and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(loss)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Comprehensive (loss) income is comprised of net (loss) income and other comprehensive (loss) income. Other comprehensive (loss) income consists of net unrealized gain or loss on available-for-sale debt securities, net of tax, and foreign currency translation adjustments from the Company’s subsidiaries not using the USD as their functional currency. The tax expense of foreign currency translation income (loss) was zero for each of the three and nine months ended September 30, 2026, and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Reclassifications from other comprehensive (loss) income to net loss, were insignificant in the three and nine months ended September 30, 2026, and zero in the three and nine months ended September 30, 2025. The tax effects related to net unrealized gain or loss on available-for-sale debt securities was zero in the three and nine months ended September 30, 2026, and 2025, due to the valuation allowance in the current period that precludes the Company from recognizing the deferred tax benefit.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Institutional, including hospitals, medical institutions, other laboratories, governmental bodies, and large corporations, (ii) Insurance,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and nine months ended September 30, 2026, and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00" w:type="dxa"/>
            <w:vAlign w:val="bottom"/>
            <w:tcBorders>
              <w:bottom w:val="single" w:sz="8" w:color="auto"/>
            </w:tcBorders>
            <w:gridSpan w:val="5"/>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r>
      <w:tr>
        <w:trPr>
          <w:trHeight w:val="209"/>
        </w:trPr>
        <w:tc>
          <w:tcPr>
            <w:tcW w:w="3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r>
      <w:tr>
        <w:trPr>
          <w:trHeight w:val="223"/>
        </w:trPr>
        <w:tc>
          <w:tcPr>
            <w:tcW w:w="3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payor</w:t>
            </w:r>
          </w:p>
        </w:tc>
        <w:tc>
          <w:tcPr>
            <w:tcW w:w="17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Institutional</w:t>
            </w:r>
          </w:p>
        </w:tc>
        <w:tc>
          <w:tcPr>
            <w:tcW w:w="25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38,385</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48,947</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135,890</w:t>
            </w:r>
          </w:p>
        </w:tc>
        <w:tc>
          <w:tcPr>
            <w:tcW w:w="120" w:type="dxa"/>
            <w:vAlign w:val="bottom"/>
          </w:tcPr>
          <w:p>
            <w:pPr>
              <w:spacing w:after="0"/>
              <w:rPr>
                <w:sz w:val="18"/>
                <w:szCs w:val="18"/>
                <w:color w:val="auto"/>
              </w:rPr>
            </w:pPr>
          </w:p>
        </w:tc>
      </w:tr>
      <w:tr>
        <w:trPr>
          <w:trHeight w:val="216"/>
        </w:trPr>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7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50,576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124,554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97,808</w:t>
            </w:r>
          </w:p>
        </w:tc>
        <w:tc>
          <w:tcPr>
            <w:tcW w:w="120" w:type="dxa"/>
            <w:vAlign w:val="bottom"/>
            <w:shd w:val="clear" w:color="auto" w:fill="CFF0FC"/>
          </w:tcPr>
          <w:p>
            <w:pPr>
              <w:spacing w:after="0"/>
              <w:rPr>
                <w:sz w:val="18"/>
                <w:szCs w:val="18"/>
                <w:color w:val="auto"/>
              </w:rPr>
            </w:pPr>
          </w:p>
        </w:tc>
      </w:tr>
      <w:tr>
        <w:trPr>
          <w:trHeight w:val="216"/>
        </w:trPr>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Patients</w:t>
            </w:r>
          </w:p>
        </w:tc>
        <w:tc>
          <w:tcPr>
            <w:tcW w:w="1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tcPr>
          <w:p>
            <w:pPr>
              <w:spacing w:after="0"/>
              <w:rPr>
                <w:sz w:val="18"/>
                <w:szCs w:val="18"/>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90,412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246,939</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120" w:type="dxa"/>
            <w:vAlign w:val="bottom"/>
            <w:shd w:val="clear" w:color="auto" w:fill="CFF0FC"/>
          </w:tcPr>
          <w:p>
            <w:pPr>
              <w:spacing w:after="0"/>
              <w:rPr>
                <w:sz w:val="19"/>
                <w:szCs w:val="19"/>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using the expected value method. Any changes in variable consideration estimates that affect transactions are accounted for on a cumulative catch-up basis. Variable consideration adjustments in the three and nine months ended September 30, 2026, and 2025 were not significant.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from contracts with customers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Receivables from contracts with customers are included within trade accounts receivable on the Condensed Consolidated Balance Sheets. Receivables from Insurance and Institutional customers represented 40% and 60%, respectively, as of September 30, 2026, and each represented 50%, as of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Contract liabilities are recorded when the Company receives payment prior to completing its obligation to transfer goods or services to a customer. Contract liabilities are included in the Condensed Consolidated Balance Sheets. Revenues of $0.7 million and $1.5 million were recognized for the three and nine months ended September 30, 2026, respectively, and $0.2 million and $0.4 million were recognized for the three and nine months ended September 30, 2025, respectively, related to contract liabilities at the beginning of the respective periods. As of September 30, 2026, and December 31, 2025, the Company has no contract assets from contracts with customers associated with contract execution and certain costs to fulfill a contract.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Certain amounts reported in the prior period have been reclassified to conform with the current period presentation. In the Condensed Consolidated Statement of Cash Flows, the Company has presented income taxes paid, net of refunds received, due to the prior adoption of ASU 2023-09, Income Taxes (Topic 740): </w:t>
      </w:r>
      <w:r>
        <w:rPr>
          <w:rFonts w:ascii="Times New Roman" w:cs="Times New Roman" w:eastAsia="Times New Roman" w:hAnsi="Times New Roman"/>
          <w:sz w:val="18"/>
          <w:szCs w:val="18"/>
          <w:i w:val="1"/>
          <w:iCs w:val="1"/>
          <w:color w:val="auto"/>
        </w:rPr>
        <w:t>Improvement to Income Tax Disclosures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17" w:lineRule="exact"/>
        <w:rPr>
          <w:sz w:val="20"/>
          <w:szCs w:val="20"/>
          <w:color w:val="auto"/>
        </w:rPr>
      </w:pPr>
    </w:p>
    <w:p>
      <w:pPr>
        <w:ind w:right="5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update provides all entities with a practical expedient related to the estimation 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t>expected credit losses for current accounts receivable and current contract assets that arise from transactions accounted for under ASC 606. Amendments in this update are effective for annual periods beginning after December 15, 2025, and interim reporting periods within those annual reporting periods. Early adoption is permitted. The Company adopted this ASU in the first quarter of 2026, and the impact is not material for the consolidated financial statements and related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w:t>
      </w:r>
    </w:p>
    <w:p>
      <w:pPr>
        <w:spacing w:after="0" w:line="11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update requires disclosure in the notes to financial statements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Amendments in this update are effective for annual periods beginning after December 15, 2026, and interim reporting periods beginning after December 15, 2027. Early adoption is permitted. The Company is currently evaluating the impact of this amendment on its consolidated financial statements and related disclosure.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update simplifies the capitalization guidance by removing all references to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so that the guidance is neutral to different software development methods. Amendments in this update are effective for annual periods beginning after December 15, 2027, and interim reporting periods within those annual reporting periods. Early adoption is permitted. The Company is currently evaluating the impact of this amendment on its financial statements and related disclosures.</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update clarifies the applicability of interim reporting guidance, provides a comprehensive list of required interim disclosures, and establishes a disclosure principle that requires disclosure of material events that occurred after the end of the last annual reporting period. Amendments in this update are effective for interim reporting periods within annual periods beginning after December 15, 2027. Early adoption is permitted. The Company is currently evaluating the impact of this amendment on its financial statements and related disclosures.</w:t>
      </w:r>
    </w:p>
    <w:p>
      <w:pPr>
        <w:spacing w:after="0" w:line="183"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This update makes targeted amendments to various topics within the Accounting Standards Codification intended to clarify, correct errors, or make minor improvements to existing guidance. Amendments in this update are effective for annual reporting periods beginning after December 15, 2026, and interim reporting periods within those annual reporting periods. Early adoption is permitted. The Company is currently evaluating the impact of this amendment on its financial statements and related disclosures.</w:t>
      </w:r>
    </w:p>
    <w:p>
      <w:pPr>
        <w:spacing w:after="0" w:line="18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294"/>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141,794</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70,039</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(70,039)</w:t>
            </w: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205,952</w:t>
            </w:r>
          </w:p>
        </w:tc>
        <w:tc>
          <w:tcPr>
            <w:tcW w:w="100" w:type="dxa"/>
            <w:vAlign w:val="bottom"/>
            <w:shd w:val="clear" w:color="auto" w:fill="CFF0FC"/>
          </w:tcPr>
          <w:p>
            <w:pPr>
              <w:spacing w:after="0"/>
              <w:rPr>
                <w:sz w:val="18"/>
                <w:szCs w:val="18"/>
                <w:color w:val="auto"/>
              </w:rPr>
            </w:pPr>
          </w:p>
        </w:tc>
      </w:tr>
      <w:tr>
        <w:trPr>
          <w:trHeight w:val="209"/>
        </w:trPr>
        <w:tc>
          <w:tcPr>
            <w:tcW w:w="44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(5,549)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279,901</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78,776</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359,550</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(7,559)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565,502</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(7,559)</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580,503</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-3325495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-3325495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-3325495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-1927860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-1927860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-1927860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-1370965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-1370965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-1370965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-1079500</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-1079500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-1079500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293"/>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-2545080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-2545080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-2545080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-1156970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-1156970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-1156970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-316230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-316230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$7.6 million and $0.1 million as of September 30, 2026, and December 31, 2025, respectively. Proceeds from sale of available-for-sale securities were $4.0 million for the three months ended September 30, 2026 and $37.2 million for the nine months ended September 30, 2026. The gross realized gain was insignificant, and there was no gross realized loss for each of the three and nine months ended September 30, 2026. There was no sale of available-for-sale securities or realized gain or loss for each of the three and nine months ended September 30, 2025. The cost of any marketable securities sold is based on the specific-identification method.</w:t>
      </w:r>
    </w:p>
    <w:p>
      <w:pPr>
        <w:spacing w:after="0" w:line="183"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credit losses for its marketable available-for-sale debt securities during the three and nine months ended September 30,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00" w:right="420" w:hanging="1025"/>
        <w:spacing w:after="0" w:line="282" w:lineRule="auto"/>
        <w:tabs>
          <w:tab w:leader="none" w:pos="15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67"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w:t>
      </w:r>
    </w:p>
    <w:p>
      <w:pPr>
        <w:spacing w:after="0" w:line="360"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unobservable for the asset or liability.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6" w:name="page17"/>
    <w:bookmarkEnd w:id="16"/>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4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421,695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421,695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650,542</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84,837</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550,704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62"/>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4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448,233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448,233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157,557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157,557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688,552</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655,153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-1842135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-1824990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-1842135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-1824990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-1842135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-1824990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Level 1 assets include money market instruments and U.S. treasury bills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the Company held preferred stock of two privately held companies, which were included in other long-term assets in the accompanying Condensed Consolidated Balance Sheets, that were measured using unobservable (Level 3) inputs. For the value of the investment in private equity securities, the Company elected to measure such investments at cost minus impairment, as the preferred stock of the privately held companies did not have a readily determinable fair value.</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 impairment of $9.9 million was recognized in 2025 related to Helio Genomics, Inc. There was no impairment loss recorded as of September 30, 2026, for the other preferred stock investment.</w:t>
      </w:r>
    </w:p>
    <w:p>
      <w:pPr>
        <w:spacing w:after="0" w:line="16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nine months ended September 30, 2026, and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3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6"/>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lab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5 months to 13 Years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65,415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60,691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6 months to 39 Years</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33,198</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25 to 39 Years</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1 to 5 Years</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8,640</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rPr>
              <w:t>7 Years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10 Years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6,300</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4,473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11 Years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4,128</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5 to 15 Years</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Automobile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3 to 7 Years</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rPr>
              <w:t>5 Years</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17,347</w:t>
            </w:r>
          </w:p>
        </w:tc>
      </w:tr>
      <w:tr>
        <w:trPr>
          <w:trHeight w:val="216"/>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4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170,494</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(65,934)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(57,945)</w:t>
            </w:r>
          </w:p>
        </w:tc>
      </w:tr>
      <w:tr>
        <w:trPr>
          <w:trHeight w:val="20"/>
        </w:trPr>
        <w:tc>
          <w:tcPr>
            <w:tcW w:w="3280" w:type="dxa"/>
            <w:vAlign w:val="bottom"/>
            <w:shd w:val="clear" w:color="auto" w:fill="CFF0FC"/>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4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112,549</w:t>
            </w:r>
          </w:p>
        </w:tc>
      </w:tr>
      <w:tr>
        <w:trPr>
          <w:trHeight w:val="20"/>
        </w:trPr>
        <w:tc>
          <w:tcPr>
            <w:tcW w:w="3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-453390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on fixed assets totaled $4.2 million and $13.1 million for the three and nine months ended September 30, 2026, respectively, and $3.9 million and $11.7 million for the three and nine months ended September 30,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7"/>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Reagents and supplies</w:t>
            </w:r>
          </w:p>
        </w:tc>
        <w:tc>
          <w:tcPr>
            <w:tcW w:w="16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10,604</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16"/>
        </w:trPr>
        <w:tc>
          <w:tcPr>
            <w:tcW w:w="7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16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16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0"/>
        </w:trPr>
        <w:tc>
          <w:tcPr>
            <w:tcW w:w="74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8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22,552</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7"/>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1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8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Vacation accrual</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16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liabilities</w:t>
            </w:r>
          </w:p>
        </w:tc>
        <w:tc>
          <w:tcPr>
            <w:tcW w:w="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8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-1851025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other accrued liabilities also included short-term finance lease liabilities, health insurance liabilities, accrued property taxes, income tax payables, and third-party billing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6"/>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3,781</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long term</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w:t>
            </w: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7,624</w:t>
            </w:r>
          </w:p>
        </w:tc>
      </w:tr>
      <w:tr>
        <w:trPr>
          <w:trHeight w:val="20"/>
        </w:trPr>
        <w:tc>
          <w:tcPr>
            <w:tcW w:w="7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Segments and Geographic Information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has two distinct reportable segments. The laboratory services operating segment offers technical laboratory and testing services and professional interpretation of laboratory results by licensed physicians who specialize in pathology and oncology. The therapeutic development operating segment is a pharmaceutical research and development entity.</w:t>
      </w:r>
    </w:p>
    <w:p>
      <w:pPr>
        <w:spacing w:after="0" w:line="176"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Chief Executive Officer serves as its CODM. The CODM oversees the Company’s operations and evaluates financial data for its two operating segments separately to make resource allocation decisions. The financial information regularly provided to the CODM includes various performance metrics by reportable segment, such as gross profit, operating income or loss, income or loss before income taxes, net income or loss from consolidated operations, and net income or loss attributable to the Company, all presented in accordance with U.S. GAAP. Although multiple financial metrics are provided, the CODM primarily relies on adjusted (non-GAAP) operating income or loss to evaluate segment performance and allocate resources. These adjusted metrics exclude the impact of equity-based compensation expenses, amortization of intangible assets, impairment of intangible assets, and acquisition-related costs including acquisition-related severance, if applicable as determined by management. Acquisition-related costs and acquisition-related severance are related to the acquisition of Bako (as defined below), which closed on March 17, 2026, see Note 15.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for additional details. The CODM does not use asset or liability information, including fixed assets, to assess segment performance.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by segment are presented below; segment liability details are not disclosed.</w:t>
      </w:r>
    </w:p>
    <w:p>
      <w:pPr>
        <w:spacing w:after="0" w:line="194"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newly acquired entity, Bako, is considered part of the laboratory services segment as this acquisition was strategically undertaken to further strengthen the Company’s laboratory services business by adding new products and services and further expanding its national client base, national sales team, and team of expert pathologists. Consequently, Bako’s operations are integrated into the laboratory services segment, with shared resources and collaborative efforts, and the CODM evaluates Bako’s operations as part of the laboratory services segment’s consolidated financial information. Therefore, Bako’s financial results are grouped within the laboratory services segment’s reporting.</w:t>
      </w:r>
    </w:p>
    <w:p>
      <w:pPr>
        <w:spacing w:after="0" w:line="183"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 The Company did not allocate income tax by segment. Information regarding the Company’s operations and assets for its reportable segments as well as geographic information was as follows, all dollars are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2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9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1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1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1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9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-1079500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-1079500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246,822</w:t>
            </w:r>
          </w:p>
        </w:tc>
        <w:tc>
          <w:tcPr>
            <w:tcW w:w="80" w:type="dxa"/>
            <w:vAlign w:val="bottom"/>
          </w:tcPr>
          <w:p>
            <w:pPr>
              <w:spacing w:after="0"/>
              <w:rPr>
                <w:sz w:val="18"/>
                <w:szCs w:val="18"/>
                <w:color w:val="auto"/>
              </w:rPr>
            </w:pPr>
          </w:p>
        </w:tc>
        <w:tc>
          <w:tcPr>
            <w:tcW w:w="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164,365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19,584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13,156</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61,382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(39,818)</w:t>
            </w:r>
          </w:p>
        </w:tc>
        <w:tc>
          <w:tcPr>
            <w:tcW w:w="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(14,197)</w:t>
            </w:r>
          </w:p>
        </w:tc>
        <w:tc>
          <w:tcPr>
            <w:tcW w:w="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(54,015)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income (loss)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(6,003)</w:t>
            </w:r>
          </w:p>
        </w:tc>
        <w:tc>
          <w:tcPr>
            <w:tcW w:w="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60,828</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(3,031)</w:t>
            </w: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(15,129)</w:t>
            </w:r>
          </w:p>
        </w:tc>
        <w:tc>
          <w:tcPr>
            <w:tcW w:w="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(18,160)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1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24"/>
                <w:szCs w:val="24"/>
                <w:color w:val="auto"/>
              </w:rPr>
            </w:pPr>
          </w:p>
        </w:tc>
        <w:tc>
          <w:tcPr>
            <w:tcW w:w="2600" w:type="dxa"/>
            <w:vAlign w:val="bottom"/>
            <w:gridSpan w:val="10"/>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Reconciliation of “adjusted operating loss” to “loss before income taxes”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(11,936)</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148"/>
              <w:spacing w:after="0"/>
              <w:rPr>
                <w:sz w:val="20"/>
                <w:szCs w:val="20"/>
                <w:color w:val="auto"/>
              </w:rPr>
            </w:pPr>
            <w:r>
              <w:rPr>
                <w:rFonts w:ascii="Times New Roman" w:cs="Times New Roman" w:eastAsia="Times New Roman" w:hAnsi="Times New Roman"/>
                <w:sz w:val="18"/>
                <w:szCs w:val="18"/>
                <w:color w:val="auto"/>
              </w:rPr>
              <w:t>(3,518)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(54,015)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(18,160)</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(add):</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Acquisition-related costs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severance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5"/>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(8,554)</w:t>
            </w: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4"/>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(7,874)</w:t>
            </w:r>
          </w:p>
        </w:tc>
        <w:tc>
          <w:tcPr>
            <w:tcW w:w="180" w:type="dxa"/>
            <w:vAlign w:val="bottom"/>
            <w:shd w:val="clear" w:color="auto" w:fill="CFF0FC"/>
          </w:tcPr>
          <w:p>
            <w:pPr>
              <w:spacing w:after="0"/>
              <w:rPr>
                <w:sz w:val="18"/>
                <w:szCs w:val="18"/>
                <w:color w:val="auto"/>
              </w:rPr>
            </w:pPr>
          </w:p>
        </w:tc>
        <w:tc>
          <w:tcPr>
            <w:tcW w:w="1220" w:type="dxa"/>
            <w:vAlign w:val="bottom"/>
            <w:gridSpan w:val="6"/>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(23,609)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(23,983)</w:t>
            </w: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equity securities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5"/>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(14,043)</w:t>
            </w:r>
          </w:p>
        </w:tc>
        <w:tc>
          <w:tcPr>
            <w:tcW w:w="720" w:type="dxa"/>
            <w:vAlign w:val="bottom"/>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gridSpan w:val="4"/>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(7,509)</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6"/>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(69,711)</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(40,751)</w:t>
            </w:r>
          </w:p>
        </w:tc>
        <w:tc>
          <w:tcPr>
            <w:tcW w:w="0" w:type="dxa"/>
            <w:vAlign w:val="bottom"/>
          </w:tcPr>
          <w:p>
            <w:pPr>
              <w:spacing w:after="0"/>
              <w:rPr>
                <w:sz w:val="1"/>
                <w:szCs w:val="1"/>
                <w:color w:val="auto"/>
              </w:rPr>
            </w:pPr>
          </w:p>
        </w:tc>
      </w:tr>
      <w:tr>
        <w:trPr>
          <w:trHeight w:val="628"/>
        </w:trPr>
        <w:tc>
          <w:tcPr>
            <w:tcW w:w="490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-6240145</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-6240145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-6240145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-4773930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-4773930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-4773930</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-3308350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-3308350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-3308350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-933450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-916305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Significant items by segment excluded from the adjusted operating (loss) income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Borders>
              <w:bottom w:val="single" w:sz="8" w:color="auto"/>
            </w:tcBorders>
            <w:gridSpan w:val="10"/>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Equity-based compensation</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 by segment was as follows:</w:t>
            </w: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8"/>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11"/>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Precision diagnostics</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123,532</w:t>
            </w:r>
          </w:p>
        </w:tc>
        <w:tc>
          <w:tcPr>
            <w:tcW w:w="10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Anatomic pathology</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103,456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BioPharma services</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246,822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BioPharma services</w:t>
            </w:r>
          </w:p>
        </w:tc>
        <w:tc>
          <w:tcPr>
            <w:tcW w:w="4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therapeutic development</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20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246,939</w:t>
            </w:r>
          </w:p>
        </w:tc>
        <w:tc>
          <w:tcPr>
            <w:tcW w:w="10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 by segment were as follows:</w:t>
            </w:r>
          </w:p>
        </w:tc>
        <w:tc>
          <w:tcPr>
            <w:tcW w:w="4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Borders>
              <w:bottom w:val="single" w:sz="8" w:color="auto"/>
            </w:tcBorders>
            <w:gridSpan w:val="10"/>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20,492</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 and expense by segment were as follows:</w:t>
            </w:r>
          </w:p>
        </w:tc>
        <w:tc>
          <w:tcPr>
            <w:tcW w:w="4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Borders>
              <w:bottom w:val="single" w:sz="8" w:color="auto"/>
            </w:tcBorders>
            <w:gridSpan w:val="10"/>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23,526</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 by segment were as follows:</w:t>
            </w:r>
          </w:p>
        </w:tc>
        <w:tc>
          <w:tcPr>
            <w:tcW w:w="4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gridSpan w:val="6"/>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center"/>
              <w:ind w:right="328"/>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973,796</w:t>
            </w:r>
          </w:p>
        </w:tc>
        <w:tc>
          <w:tcPr>
            <w:tcW w:w="680" w:type="dxa"/>
            <w:vAlign w:val="bottom"/>
            <w:gridSpan w:val="3"/>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105,133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center"/>
              <w:ind w:right="328"/>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1,078,929</w:t>
            </w:r>
          </w:p>
        </w:tc>
        <w:tc>
          <w:tcPr>
            <w:tcW w:w="680" w:type="dxa"/>
            <w:vAlign w:val="bottom"/>
            <w:gridSpan w:val="3"/>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74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jc w:val="right"/>
              <w:ind w:right="595"/>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-6823075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-6823075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-6823075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-6823075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-4996815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-4996815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-4996815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-4705350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-4688205</wp:posOffset>
            </wp:positionV>
            <wp:extent cx="774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-4705350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-4688205</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-4705350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-4688205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-4688205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-3573780</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-3556635</wp:posOffset>
            </wp:positionV>
            <wp:extent cx="774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-3573780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-3556635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-3573780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-3556635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-1893570</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-1876425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-1893570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-1876425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-1893570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-1876425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-933450</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-916305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Geographic distribution of revenue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83,247</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77,608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226,616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221,641</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countries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tcPr>
          <w:p>
            <w:pPr>
              <w:spacing w:after="0"/>
              <w:rPr>
                <w:sz w:val="18"/>
                <w:szCs w:val="18"/>
                <w:color w:val="auto"/>
              </w:rPr>
            </w:pPr>
          </w:p>
        </w:tc>
      </w:tr>
      <w:tr>
        <w:trPr>
          <w:trHeight w:val="209"/>
        </w:trPr>
        <w:tc>
          <w:tcPr>
            <w:tcW w:w="5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foreign</w:t>
            </w: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-170815</wp:posOffset>
            </wp:positionV>
            <wp:extent cx="774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104,909</w:t>
            </w:r>
          </w:p>
        </w:tc>
        <w:tc>
          <w:tcPr>
            <w:tcW w:w="5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countries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8"/>
                <w:szCs w:val="18"/>
                <w:color w:val="auto"/>
              </w:rPr>
            </w:pPr>
          </w:p>
        </w:tc>
      </w:tr>
      <w:tr>
        <w:trPr>
          <w:trHeight w:val="209"/>
        </w:trPr>
        <w:tc>
          <w:tcPr>
            <w:tcW w:w="7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foreign</w:t>
            </w: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112,549</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774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Notes payable as of September 30, 2026, consisted of $2.0 million of notes payable related to an installment sale contract the Company entered into in February 2022 for a building. The notes payable related to the installment sale are due in February 2030, and the interest rate is 1.08%. The current portion and noncurrent portion are $0.5 million and $1.5 million, respectively, and the noncurrent portion is included in other long-term liabilities in the accompanying Condensed Consolidated Balance Sheets. The interest expense for the three and nine months ended September 30, 2026, and 2025, was not significant.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 Certain of the Company’s executive officers and employees have also received CIDs relating to these matters.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Similar to other laboratories in the industry, the Company responded to an audit inquiry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The Company has provided HRSA’s auditors with requested information in connection with its audit in an effort to resolve any issues related to its audit, including any reimbursed amounts that may need to be returned to HRSA. As of the date of this quarterly report, the Company has not received any final audit results from HRSA for this audit. The Company has not received any further requests for information in connection with this audit from HRSA. The Company has also received a CID issued by the DOJ pursuant to the False Claims Act related to the DOJ’s investigation as to whether the Company submitted or caused to be submitted false claims to the Uninsured Program.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As is typical for companies seeking reimbursement from government payors, from time to time the Company is named as a defendant in claims pursuant to the qui tam provisions of the False Claims Act and comparable state laws. Often, these proceedings remain under seal such that the Company does not have access to the specific information included in them. Seals often remain in place for extended periods of time while the U.S. government, or applicable regulatory authority, decides whether to intervene on behalf of the qui tam plaintiff. As a result, the Company may not be aware of all qui tam claims that have been filed against the Company. In or around February 2026, the U.S. District Court for the Central District of California unsealed a qui tam complaint (and certain related proceedings) filed against Fulgent Genetics, Inc. and Fulgent Therapeutics LLC by a qui tam plaintiff (known as a relator) on behalf of the United States. This complaint alleged that the Company filed false claims for reimbursement for COVID-19 tests in violation of the False Claims Act. The complaint was subsequently dismissed without prejudice as to the relator and the U.S. government following the U.S. government’s filing of a motion to dismiss, meaning the relator and the U.S. government retained the right to refile and may refile under seal.</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is fully cooperating with the DOJ in connection with the CIDs that it, or its employees, have received. The Company cannot currently predict when these CIDs and HRSA audit matters will be resolved, the reasonable or likely outcome of these matters, or their potential impact, which may materially and adversely affect the Company’s business, prospects, and financial condition. Discussions and investigations remain ongoing. As such, the Company cannot reasonably estimate the loss or range of loss, if any, that may result from any material government investigations, audits, claims, and reviews in which it is currently involved, given the inherent difficulty in predicting regulatory actions, fines and penalties, if any, and the various remedies and levels of judicial review available to the Company in the event of an adverse finding. As a result, the Company has not recorded any liability related to these CIDs or audit matters.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the Company, like other laboratories in its industry, is subject to claims and allegations relating to professional liability. The Company accrued $14.5 million in connection with the settlement of a professional liability matter, which was included in accrued legal liabilities and general and administrative expense in the 2025 Annual Report. The Company maintains professional liability insurance that has provided partial coverage for this matter, subject to customary retentions, exclusions, and limits. During the second quarter of 2026, the Company paid this settlement in full, and the related accrual is no longer reflected in accrued legal liabilities as of September 30,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 lessee to various non-cancelable operating leases with varying terms through March 2034, primarily for laboratory and office space and equipment. The Company has options to renew some of these leases after their expiration.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or ROU asset, short-term lease liabilities, and long-term lease liabilities as of September 30, 2026, and December 31, 2025,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2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8,043</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4,961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2,113</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6,208</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2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4100" w:type="dxa"/>
            <w:vAlign w:val="bottom"/>
          </w:tcPr>
          <w:p>
            <w:pPr>
              <w:spacing w:after="0"/>
              <w:rPr>
                <w:sz w:val="24"/>
                <w:szCs w:val="24"/>
                <w:color w:val="auto"/>
              </w:rPr>
            </w:pPr>
          </w:p>
        </w:tc>
        <w:tc>
          <w:tcPr>
            <w:tcW w:w="27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The following was operating and finance lease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r>
      <w:tr>
        <w:trPr>
          <w:trHeight w:val="196"/>
        </w:trPr>
        <w:tc>
          <w:tcPr>
            <w:tcW w:w="4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gridSpan w:val="2"/>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57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leases was the following:</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gridSpan w:val="2"/>
          </w:tcPr>
          <w:p>
            <w:pPr>
              <w:spacing w:after="0"/>
              <w:rPr>
                <w:sz w:val="24"/>
                <w:szCs w:val="24"/>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operating leases</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4.94 years</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operating leases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finance lease</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0.25 years</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finance lease</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-1279525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-1279525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-1279525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-1279525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gridSpan w:val="2"/>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5"/>
                <w:szCs w:val="15"/>
                <w:color w:val="auto"/>
              </w:rPr>
            </w:pPr>
          </w:p>
        </w:tc>
      </w:tr>
      <w:tr>
        <w:trPr>
          <w:trHeight w:val="209"/>
        </w:trPr>
        <w:tc>
          <w:tcPr>
            <w:tcW w:w="6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2026 (remaining 3 months)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May 14, 2026, at the Company's 2026 Annual Meeting of Stockholders, the Company's stockholders approved the Fulgent Genetics, Inc. 2026 Equity Incentive Plan (the "2026 Plan"), which replaced the Company's Amended and Restated 2016 Omnibus Incentive Plan (the "Prior Plan"), and awards made under the 2026 Plan will be made consistent with the terms of the 2026 Plan. No additional awards were granted under the Prior Plan on or after May 14, 2026 (the "Effective Date"). Awards outstanding under the Prior Plan as of the Effective Date remain outstanding and continue to be governed by their existing terms.</w:t>
      </w:r>
    </w:p>
    <w:p>
      <w:pPr>
        <w:spacing w:after="0" w:line="183"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2026 Plan authorizes the issuance of 2,000,000 new shares of the Company's common stock, plus up to an additional 1,500,000 shares of common stock to the extent awards outstanding under the Prior Plan are forfeited, expire, or cancelled without delivery of shares on or after the Effective Date. Shares of common stock withheld or repurchased by the Company to satisfy an award's exercise price or tax withholding obligations are not added back to the shares of common stock available for future issuance. The 2026 Plan permits the grant of incentive stock options, non-qualified stock options, stock grants, and other stock-based awards (including RSUs and stock appreciation rights) to employees, directors, and consultants, and will terminate on March 31, 2036 unless terminated earlier.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 Condensed Consolidated Statements of Operations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3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2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260" w:type="dxa"/>
            <w:vAlign w:val="bottom"/>
            <w:gridSpan w:val="2"/>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10,060</w:t>
            </w: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3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34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12,695</w:t>
            </w:r>
          </w:p>
        </w:tc>
        <w:tc>
          <w:tcPr>
            <w:tcW w:w="100" w:type="dxa"/>
            <w:vAlign w:val="bottom"/>
          </w:tcPr>
          <w:p>
            <w:pPr>
              <w:spacing w:after="0"/>
              <w:rPr>
                <w:sz w:val="18"/>
                <w:szCs w:val="18"/>
                <w:color w:val="auto"/>
              </w:rPr>
            </w:pPr>
          </w:p>
        </w:tc>
      </w:tr>
      <w:tr>
        <w:trPr>
          <w:trHeight w:val="22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3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12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12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30,306</w:t>
            </w:r>
          </w:p>
        </w:tc>
        <w:tc>
          <w:tcPr>
            <w:tcW w:w="100" w:type="dxa"/>
            <w:vAlign w:val="bottom"/>
            <w:shd w:val="clear" w:color="auto" w:fill="CFF0FC"/>
          </w:tcPr>
          <w:p>
            <w:pPr>
              <w:spacing w:after="0"/>
              <w:rPr>
                <w:sz w:val="19"/>
                <w:szCs w:val="19"/>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-25400</wp:posOffset>
            </wp:positionV>
            <wp:extent cx="768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consolidated benefit from income taxes of $0.7 million and $1.4 million for the three and nine months ended September 30, 2026, respectively, compared to $0.7 million and $2.8 million for the three and nine months ended September 30, 2025, respectively. The Company’s effective tax rates were 5% and 2% for the three and nine months ended September 30, 2026, respectively, compared to 9% and 7% for the three and nine months ended September 30, 2025, respectively. The change in the effective tax rate compared to prior periods was primarily driven by a one-time tax benefit related to the acquisition of Inflation Reduction Act tax credits in prior year that did not occur in the current year.</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2021 to 2023 tax years. While the timing of the conclusion of the examination is uncertain, the Company believes that adequate amounts have been reserved for adjustments that may result. During 2026, the statutes of limitations will lapse on the Company’s 2022 federal tax year and certain 2021 and 2022 state tax years. The Company does not believe the federal or state statute lapses or any other event will significantly impact the balance of unrecognized tax benefits in the next twelve months.</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has received the $106.1 million related to the carryback of Investment Tax Credits to the 2021 and 2022 tax years. The Company has received and recorded $6.2 million in interest income related to the refund.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loss per share computations for the three and nine months ended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5"/>
                <w:szCs w:val="15"/>
                <w:color w:val="auto"/>
              </w:rPr>
            </w:pPr>
          </w:p>
        </w:tc>
        <w:tc>
          <w:tcPr>
            <w:tcW w:w="27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r>
      <w:tr>
        <w:trPr>
          <w:trHeight w:val="223"/>
        </w:trPr>
        <w:tc>
          <w:tcPr>
            <w:tcW w:w="4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(13,152)</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(6,608)</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(67,508)</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(37,095)</w:t>
            </w:r>
          </w:p>
        </w:tc>
      </w:tr>
      <w:tr>
        <w:trPr>
          <w:trHeight w:val="196"/>
        </w:trPr>
        <w:tc>
          <w:tcPr>
            <w:tcW w:w="446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4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27,662</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6"/>
        </w:trPr>
        <w:tc>
          <w:tcPr>
            <w:tcW w:w="4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30,749</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30,708</w:t>
            </w:r>
          </w:p>
        </w:tc>
        <w:tc>
          <w:tcPr>
            <w:tcW w:w="12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4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r>
        <w:trPr>
          <w:trHeight w:val="630"/>
        </w:trPr>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-1945005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-1927860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-1945005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-1927860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-1945005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-1927860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-1945005</wp:posOffset>
            </wp:positionV>
            <wp:extent cx="77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-1927860</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-1645285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-1628140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-1645285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-1628140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-1645285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-1628140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-1645285</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-1628140</wp:posOffset>
            </wp:positionV>
            <wp:extent cx="774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loss per share because their effect would have been anti-dilutive: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210"/>
        </w:trPr>
        <w:tc>
          <w:tcPr>
            <w:tcW w:w="4800" w:type="dxa"/>
            <w:vAlign w:val="bottom"/>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r>
      <w:tr>
        <w:trPr>
          <w:trHeight w:val="223"/>
        </w:trPr>
        <w:tc>
          <w:tcPr>
            <w:tcW w:w="4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8"/>
                <w:szCs w:val="18"/>
                <w:color w:val="auto"/>
              </w:rPr>
            </w:pP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18"/>
                <w:szCs w:val="18"/>
                <w:color w:val="auto"/>
              </w:rPr>
            </w:pPr>
          </w:p>
        </w:tc>
      </w:tr>
    </w:tbl>
    <w:p>
      <w:pPr>
        <w:spacing w:after="0" w:line="30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anti-dilutive shares described above were calculated using the treasury stock method. In the three and nine months ended September 30, 2026, and 2025, the Company had outstanding stock options and restricted stock units that were excluded from the weighted-average share calculation for continuing operations due to the Company’s net loss positions.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the three and nine months ended September 30, 2026, the Company also had contingently issuable shares for contingent consideration to the acquisition of ANP that were excluded from the diluted weighted-average share calculation for continuing operations due to the Company’s net loss positions. Certain milestones were met as of September 30, 2026, and the 143,023 shares of the Company's common stock issuable upon achievement of those milestones, which were issued in October 2026, were included in the basic weighted-average share calculation from the date the milestones were met. Refer to Note 18.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additional details. 146,341 shares of the Company's common stock remain issuable dependent on the achievement of additional milestones.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Retirement Plans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4% of an employee’s compensation that the employee contributes to their 401(k) Plan account. Total Company matching contributions to the 401(k) Plan were $1.3 million and $4.1 million for the three and nine months ended September 30, 2026, respectively, and $1.0 million and $3.2 million for the three and nine months ended September 30, 2025,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Prior to April 25, 2025, Ming Hsieh, the Chief Executive Officer and Chairperson of the board of directors, was on the board of directors and an approximately 20% owner of ANP, with which the Company entered into certain drug-related licensing and development service agreements.</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President and Chief Scientific Officer of Fulgent Pharma, Ray Yin, is the Founder, President, and Chief Technology Officer of ANP. Prior to April 25, 2025, the Company incurred zero and $0.6 million related to the licensing and development services and the purchase of equipment in the three and nine months ended September 30, 2025, respectively. The Company also entered into an employee service agreement with ANP in April 2023, an insignificant amount was recognized in revenue in the three and nine months ended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Bako Business Combination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March 17, 2026, or the Bako acquisition date, Inform Diagnostics, Inc., a wholly owned subsidiary of the Company, completed an acquisition of substantially all of the assets and certain specified liabilities of Bako Diagnostics, a premier pathology laboratory, or Bako, and 100% of the issued and outstanding equity of StrataDx, a premier dermatopathology laboratory. Under the terms of the asset purchase agreement, as well as the purchase and sale agreement, both dated December 20, 2025, the initial total purchase price was approximately $55.7 million, net of cash received, and was subsequently adjusted as described below. These acquisitions, or collectively, the Bako Acquisition, enable the Company to further strengthen its laboratory services business by adding new products and services and further expand its national client base, national sales team, and team of expert pathologists.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color w:val="auto"/>
        </w:rPr>
        <w:t>The financial results of the Bako Acquisition are included in the condensed consolidated financial statements from the date of acquisition.</w:t>
      </w:r>
    </w:p>
    <w:p>
      <w:pPr>
        <w:spacing w:after="0" w:line="22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accounted for the acquisitions as a business combination under Accounting Standards Codification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or “ASC 805.” Accordingly, the total consideration transferred has been allocated to the tangible assets and identified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and liabilities assumed based on their estimated fair values as of the Bako acquisition date. The excess of the consideration transferred over the fair value of net identifiable assets acquired has been recognized as goodwill. The purchase price allocation is preliminary and remains subject to change, primarily with respect to deferred taxes. As additional information becomes available — including the filing and finalization of federal and state tax returns for periods prior to the Bako acquisition date, and the resolution of other post-closing matters — the Company may further update the preliminary purchase price allocation during the remainder of the measurement period (up to one year from the Bako acquisition date).</w:t>
      </w:r>
    </w:p>
    <w:p>
      <w:pPr>
        <w:spacing w:after="0" w:line="18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2026, the Company finalized the post-closing purchase price adjustment for the Bako Acquisition pursuant to the terms of the purchase agreements, resulting in an excess payment of $0.1 million owed to the seller. This amount was recorded as a measurement period adjustment under ASC 805, increasing goodwill as of the Bako acquisition date. The adjustment had no impact on the Company’s consolidated statements of operations for the nine months ended September 30, 2026.</w:t>
      </w:r>
    </w:p>
    <w:p>
      <w:pPr>
        <w:spacing w:after="0" w:line="3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updated purchase price allocation: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Initially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Considerations</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paid</w:t>
            </w:r>
          </w:p>
        </w:tc>
        <w:tc>
          <w:tcPr>
            <w:tcW w:w="4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Considerations paid post-closing</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considerations</w:t>
            </w:r>
          </w:p>
        </w:tc>
        <w:tc>
          <w:tcPr>
            <w:tcW w:w="4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ROU assets - operating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(1,952)</w:t>
            </w:r>
          </w:p>
        </w:tc>
        <w:tc>
          <w:tcPr>
            <w:tcW w:w="16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(2,839)</w:t>
            </w:r>
          </w:p>
        </w:tc>
        <w:tc>
          <w:tcPr>
            <w:tcW w:w="16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net</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-2545715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-2545715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goodwill of $31.5 million arising from the acquisition is attributed to the expected synergies, assembled workforce, and other benefits that will potentially be generated from the business combination along with deferred tax. The goodwill recognized is not deductible for tax purposes.</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identified intangible assets acquired consisted of $22.0 million in customer relationships with an estimated amortization life of ten years and $0.7 million in trade name with an estimated amortization life of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the customer relationships was estimated using the Multiperiod Excess Earnings Method, or MPEEM, of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relationships are then discounted to their present value at a risk-adjusted rate of return. The fair value of the trade name was estimated using the relief from royalty, or RFR, method. The RFR method estimates the portion of the Company’s earnings attributable to an intangible asset based on the royalty rate the Company would have paid for the use of the asset if it did not own it.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and trade name are amortized on a straight-line basis over their estimated useful lives.</w:t>
      </w:r>
    </w:p>
    <w:p>
      <w:pPr>
        <w:spacing w:after="0" w:line="18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revenue of the acquiree since the Bako acquisition date were $21.8 million and $41.3 million for the three and nine months ended September 30, 2026, respectively, which are included in the accompanying Condensed Consolidated Statements of Operations.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acquisition-related costs associated with the acquisition of Bako consisted primarily of legal, regulatory and financial advisory fees of approximately $0.3 million for the second quarter of 2026, $2.6 million for the first quarter of 2026, and $1.5 million incurred in the fourth quarter of 2025. No additional acquisition-related costs were incurred in the third quarter of 2026. These acquisition-related costs were expensed as incurred as general and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ANP Technologies, Inc.</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On July 9, 2025, or the ANP acquisition date, the Company completed an acquisition of 100% of the outstanding equity of ANP, an innovation-driven company, which has developed multiple proprietary product platforms. The acquisition was structured as a combination of cash and stock, net of cash received. This acquisition enables the Company to secure ownership of the patents previously licensed from ANP, which are currently utilized in ongoing clinical studies. By securing full ownership of these intellectual property rights, the Company aims to enhance its control over the development and commercialization of related therapeutic candidates, thereby aligning with its strategic objectives to advance clinical programs.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results of ANP are included in the consolidated financial statements from the date of acquisition.</w:t>
      </w:r>
    </w:p>
    <w:p>
      <w:pPr>
        <w:spacing w:after="0" w:line="22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finalized the federal and state income tax returns for ANP for periods prior to the ANP acquisition date. As a result of this finalization, the Company identified a measurement period adjustment resulting in a decrease to deferred tax liabilities of $2.7 million, with a corresponding decrease to goodwill of $2.7 million. This adjustment is reflected retrospectively as of the ANP acquisition date in accordance with ASC 805. The adjustment had no impact on the Company’s consolidated statements of operations for the nine months ended September 30, 2026.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updated and finalized purchase price allocation: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Initially</w:t>
            </w:r>
          </w:p>
        </w:tc>
        <w:tc>
          <w:tcPr>
            <w:tcW w:w="10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paid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held back</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pre-existing accounts payable</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ROU assets - operating</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0"/>
        </w:trPr>
        <w:tc>
          <w:tcPr>
            <w:tcW w:w="7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net</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-2407920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-2407920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-454025</wp:posOffset>
            </wp:positionV>
            <wp:extent cx="774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-454025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73" w:lineRule="auto"/>
        <w:rPr>
          <w:sz w:val="20"/>
          <w:szCs w:val="20"/>
          <w:color w:val="auto"/>
        </w:rPr>
      </w:pPr>
      <w:r>
        <w:rPr>
          <w:rFonts w:ascii="Times New Roman" w:cs="Times New Roman" w:eastAsia="Times New Roman" w:hAnsi="Times New Roman"/>
          <w:sz w:val="17"/>
          <w:szCs w:val="17"/>
          <w:color w:val="auto"/>
        </w:rPr>
        <w:t xml:space="preserve">The acquisition includes a contingent consideration arrangement that requires the Company to issue up to 292,682 shares of the Company’s common stock to the sellers of ANP upon ANP’s achievement of certain minimum levels of cash receipts within the two years following the ANP acquisition date. The contingent consideration is classified as equity, and the fair value of $5.7 million was calculated based on the stock price of the Company’s common stock on the ANP acquisition date. The fair value of the contingent consideration does not need to be remeasured, as the subsequent settlement will be accounted for as equity. On October 1, 2026, the Company issued an aggregate of 143,023 shares of the Company's common stock as consideration to sellers of ANP in connection with ANP's achievement of certain milestones, and a portion of the earnout was settled in cash, rather than shares of common stock, for holders that were not accredited investors as required by the ANP Merger Agreement, see Note 18.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The ANP Merger Agreement called for the Company to hold back $1.9 million to serve as collateral for indemnification of the equity holders. $1.0 million of the holdback will be released to the sellers of ANP after the initial survival date (three years after closing), and the remaining amount is to be released four years after the closing date.</w:t>
      </w:r>
    </w:p>
    <w:p>
      <w:pPr>
        <w:spacing w:after="0" w:line="176" w:lineRule="exact"/>
        <w:rPr>
          <w:sz w:val="20"/>
          <w:szCs w:val="20"/>
          <w:color w:val="auto"/>
        </w:rPr>
      </w:pPr>
    </w:p>
    <w:p>
      <w:pPr>
        <w:ind w:right="260" w:firstLine="494"/>
        <w:spacing w:after="0" w:line="282" w:lineRule="auto"/>
        <w:rPr>
          <w:sz w:val="20"/>
          <w:szCs w:val="20"/>
          <w:color w:val="auto"/>
        </w:rPr>
      </w:pPr>
      <w:r>
        <w:rPr>
          <w:rFonts w:ascii="Times New Roman" w:cs="Times New Roman" w:eastAsia="Times New Roman" w:hAnsi="Times New Roman"/>
          <w:sz w:val="18"/>
          <w:szCs w:val="18"/>
          <w:color w:val="auto"/>
        </w:rPr>
        <w:t>The goodwill of $0.3 million arising from the acquisition is attributed to the expected synergies, assembled workforce and other benefits that will potentially be generated from the business combination along with deferred tax. The goodwill recognized is not deductible for tax purposes.</w:t>
      </w:r>
    </w:p>
    <w:p>
      <w:pPr>
        <w:spacing w:after="0" w:line="162"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The identified intangible assets acquired consisted of $3.9 million IPR&amp;D which is an indefinite-lived asset and as such is not amortized, and $2.3 million customer relationships with an estimated amortization life of 18 years.</w:t>
      </w:r>
    </w:p>
    <w:p>
      <w:pPr>
        <w:spacing w:after="0" w:line="162"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The fair value of the IPR&amp;D was estimated using the cost to recreate method of the cost approach. The cost to recreate method estimates the expense to the Company if the intangible assets were to be recreated. The fair value of the customer relationships was estimated using the MPEEM under the income approach, see above for additional details.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are amortized on a straight-line basis over the estimated useful lives.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8"/>
          <w:szCs w:val="18"/>
          <w:color w:val="auto"/>
        </w:rPr>
        <w:t>During the nine months ended September 30, 2026, the Company recorded a full impairment of the customer relationships intangible asset. See Note</w:t>
      </w:r>
    </w:p>
    <w:p>
      <w:pPr>
        <w:spacing w:after="0" w:line="27"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further details.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 Repurchase Program</w:t>
      </w:r>
    </w:p>
    <w:p>
      <w:pPr>
        <w:spacing w:after="0" w:line="121" w:lineRule="exact"/>
        <w:rPr>
          <w:sz w:val="20"/>
          <w:szCs w:val="20"/>
          <w:color w:val="auto"/>
        </w:rPr>
      </w:pPr>
    </w:p>
    <w:p>
      <w:pPr>
        <w:ind w:right="200" w:firstLine="494"/>
        <w:spacing w:after="0" w:line="266" w:lineRule="auto"/>
        <w:rPr>
          <w:sz w:val="20"/>
          <w:szCs w:val="20"/>
          <w:color w:val="auto"/>
        </w:rPr>
      </w:pPr>
      <w:r>
        <w:rPr>
          <w:rFonts w:ascii="Times New Roman" w:cs="Times New Roman" w:eastAsia="Times New Roman" w:hAnsi="Times New Roman"/>
          <w:sz w:val="18"/>
          <w:szCs w:val="18"/>
          <w:color w:val="auto"/>
        </w:rPr>
        <w:t>In March 2022, the Company’s board of directors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76"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repurchased 15,059 and 4.1 million shares of its common stock, respectively, at an aggregate cost of $0.3 million and $64.1 million, respectively, under the stock repurchase program. During the three and nine months ended September 30, 2025, the Company repurchased zero and 0.6 million shares of its common stock, respectively, at an aggregate cost of zero and $10.9 million, respectively under the stock repurchase program. As of September 30, 2026, a total of approximately $75.6 million remained available for future repurchases of its common stock under the stock repurchase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Intangible Assets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operating segments represented the two reporting units.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amounts of goodwill for the laboratory services segment and the therapeutic development segment in the nine months ended September 30, 2026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Therapeutic Development</w:t>
            </w:r>
          </w:p>
        </w:tc>
        <w:tc>
          <w:tcPr>
            <w:tcW w:w="0" w:type="dxa"/>
            <w:vAlign w:val="bottom"/>
          </w:tcPr>
          <w:p>
            <w:pPr>
              <w:spacing w:after="0"/>
              <w:rPr>
                <w:sz w:val="1"/>
                <w:szCs w:val="1"/>
                <w:color w:val="auto"/>
              </w:rPr>
            </w:pPr>
          </w:p>
        </w:tc>
      </w:tr>
      <w:tr>
        <w:trPr>
          <w:trHeight w:val="50"/>
        </w:trPr>
        <w:tc>
          <w:tcPr>
            <w:tcW w:w="6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250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220" w:type="dxa"/>
            <w:vAlign w:val="bottom"/>
            <w:shd w:val="clear" w:color="auto" w:fill="CFF0FC"/>
          </w:tcPr>
          <w:p>
            <w:pPr>
              <w:spacing w:after="0"/>
              <w:rPr>
                <w:sz w:val="18"/>
                <w:szCs w:val="18"/>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31,509</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2026, the Company identified indicators requiring an interim goodwill impairment assessment for its Therapeutic Development and Laboratory Services reporting units, including the loss of a significant customer within its ANP business and a sustained disconnect between the Company's market capitalization and its tangible net asset value. As a result, the Company engaged a third-party valuation specialist, as of June 30, 2026, and performed an interim quantitative goodwill impairment test for both reporting units, and a corresponding quantitative recoverability test for its indefinite-lived in-process research and development, or IPR&amp;D.</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there have been no significant changes in the business since the quantitative goodwill impairment tests and the corresponding quantitative recoverability test. There is no indication of a potential impairment for the Company's goodwill and IPR&amp;D.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change in goodwill for the laboratory services segment reflects goodwill arising from the Bako Acquisition, including a post-closing purchase price adjustment. The newly acquired entity, Bako, is considered part of the laboratory services segment. See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further details.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Based upon the results of the quantitative assessments the Company performed as of June 30, 2026, the Company concluded that the fair values of the laboratory services reporting unit were greater than the carrying values and that there was no impairment. The fair value of the Company’s laboratory services reporting unit remains higher than the carrying value recorded. The fair value of this reporting unit was $1,045.0 million and exceeded the carrying value of $943.5 million by approximately 11%.</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However, this remains at heightened risk of future impairment given the narrow margin between estimated fair value and carrying value. As of September 30, 2026, there have been no significant changes in the laboratory services reporting unit since the quantitative valuation performed as of June 30, 2026. There is no indication of a potential impairment within the laboratory services reporting unit. While no impairment was recorded as of September 30, 2026, future developments such as deterioration in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 and the ability to achieve revenue growth targets as well as projected cost of revenue and operating expense targets could reduce the fair value of this reporting unit and lead to impairment in a future period.</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decrease in goodwill for the therapeutic development segment reflects a measurement period adjustment related to the ANP acquisition, resulting from the finalization of deferred tax liabilities. See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further details.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$2.3 million of customer relationships and $3.9 million of IPR&amp;D attributable to the acquisition of ANP. During the three months ended June 30, 2026, the Company identified a triggering event with respect to a finite-lived customer relationship intangible asset acquired as part of the ANP acquisition, resulting from loss of a significant customer relationship. As a result, the Company recorded an impairment charge of $2.2 million during the three months ended June 30, 2026, representing the remaining net carrying value of the intangible asset after accumulated amortization since the ANP acquisition date, effectively writing off the asset in its entirety. The impairment charge is reflected within a separate line item in the Condensed Consolidated Statements of Operations.</w:t>
      </w:r>
    </w:p>
    <w:p>
      <w:pPr>
        <w:spacing w:after="0" w:line="187" w:lineRule="exact"/>
        <w:rPr>
          <w:sz w:val="20"/>
          <w:szCs w:val="20"/>
          <w:color w:val="auto"/>
        </w:rPr>
      </w:pPr>
    </w:p>
    <w:p>
      <w:pPr>
        <w:jc w:val="both"/>
        <w:ind w:right="140" w:firstLine="509"/>
        <w:spacing w:after="0" w:line="312" w:lineRule="auto"/>
        <w:rPr>
          <w:sz w:val="20"/>
          <w:szCs w:val="20"/>
          <w:color w:val="auto"/>
        </w:rPr>
      </w:pPr>
      <w:r>
        <w:rPr>
          <w:rFonts w:ascii="Times New Roman" w:cs="Times New Roman" w:eastAsia="Times New Roman" w:hAnsi="Times New Roman"/>
          <w:sz w:val="17"/>
          <w:szCs w:val="17"/>
          <w:color w:val="auto"/>
        </w:rPr>
        <w:t>Based upon the results of the quantitative assessments the Company performed as of June 30, 2026, the Company concluded that the fair values of the therapeutic development reporting unit and the IPR&amp;D asset at June 30, 2026, were greater than the carrying values and that there was no impairment.</w:t>
      </w:r>
    </w:p>
    <w:p>
      <w:pPr>
        <w:spacing w:after="0" w:line="140"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The fair value of the Company’s therapeutic development reporting unit was calculated using the income approach weighted at 100% with a WACC of 47%. The fair value of the IPR&amp;D was appraised using the income approach known as multi-period excess earnings method with a WACC of 49%.</w:t>
      </w:r>
    </w:p>
    <w:p>
      <w:pPr>
        <w:spacing w:after="0" w:line="14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fair values of the Company’s therapeutic development reporting unit and IPR&amp;D remain substantially higher than the carrying value recorded. The fair value of this reporting unit was $270.0 million and exceeded the carrying value of $54.6 million by approximately 395%, and the fair value of IPR&amp;D was $265.0 million and exceeded the carrying value of $68.5 million by approximately 287%.</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there have been no significant changes in the therapeutic development reporting unit since the quantitative valuation performed as of June 30, 2026. There is no indication of a potential impairment within the therapeutic development reporting unit.</w:t>
      </w:r>
    </w:p>
    <w:p>
      <w:pPr>
        <w:spacing w:after="0" w:line="16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The Company is not able to market a human therapeutic product without obtaining regulatory approvals, and such approvals require completing clinical trials that demonstrate a product candidate is safe and effective. In addition, the availability and extent of coverage and reimbursement from insurance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color w:val="auto"/>
        </w:rPr>
        <w:t>Summaries of intangible assets balances as of September 30, 2026, and December 31,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160" w:type="dxa"/>
            <w:vAlign w:val="bottom"/>
          </w:tcPr>
          <w:p>
            <w:pPr>
              <w:spacing w:after="0"/>
              <w:rPr>
                <w:sz w:val="16"/>
                <w:szCs w:val="16"/>
                <w:color w:val="auto"/>
              </w:rPr>
            </w:pPr>
          </w:p>
        </w:tc>
        <w:tc>
          <w:tcPr>
            <w:tcW w:w="15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2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105,185</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(31,576)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(25,633)</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73,609</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Royalty-free technology</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Trade name,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Purchased patent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Purchased patent,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146,800</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3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-4499610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-4499610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-3942715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-3385820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-2828290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-2271395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-1713865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-316865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the acquisitions of Fulgent Pharma in 2022 and ANP in 2025, and has an indefinite life until research and development efforts are completed or abandoned. All other finite-lived acquisition-related intangibles related to the business combinations are amortized on a straight-line basis over their estimated lives, which approximates the pattern in which the economic benefits of the intangible assets are expected to be realized.</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the Company recorded $22.0 million of customer relationships and $0.7 million of trade name attributable to the acquisition of Bako. See more details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$2.5 million and $7.1 million in the three and nine months ended September 30, 2026, respectively, and $2.0 million and $6.0 million in the three and nine months ended September 30,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intangible assets recorded as of September 30, 2026, and assuming no subsequent impairment of the underlying assets, the annual amortization expense for intangible assets is expected to be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42"/>
        </w:trPr>
        <w:tc>
          <w:tcPr>
            <w:tcW w:w="4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jc w:val="right"/>
              <w:ind w:right="12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2026 (remaining 3 months)</w:t>
            </w:r>
          </w:p>
        </w:tc>
        <w:tc>
          <w:tcPr>
            <w:tcW w:w="35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100" w:type="dxa"/>
            <w:vAlign w:val="bottom"/>
          </w:tcPr>
          <w:p>
            <w:pPr>
              <w:spacing w:after="0"/>
              <w:rPr>
                <w:sz w:val="18"/>
                <w:szCs w:val="18"/>
                <w:color w:val="auto"/>
              </w:rPr>
            </w:pPr>
          </w:p>
        </w:tc>
      </w:tr>
      <w:tr>
        <w:trPr>
          <w:trHeight w:val="249"/>
        </w:trPr>
        <w:tc>
          <w:tcPr>
            <w:tcW w:w="4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ANP Earnout Share Issuance</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October 1, 2026, the Company issued an aggregate of 143,023 shares of the Company’s common stock as consideration to sellers of ANP in connection with ANP’s achievement of certain milestones. A portion of the earnout was settled in cash, rather than shares of common stock, for holders that were not accredited investors (as required by the ANP Merger Agreement). The Company issued the shares of common stock in reliance on an exemption from registration provided for under Section 4(a)(2) of the Securities Act and/or Rule 506 of Regulation D promulgated thereunder as a transaction by an issuer not involving a public offering. The Company relied on this exemption from registration based in part on the representations made by the applicable ANP sellers. The shares are “restricted securities” within the meaning of Rule 144.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2025, filed with the SEC on February 27, 2026, or the 2025 Annual Report. As used in this discussion and analysis and elsewhere in this report, unless the context otherwise requires, the terms “Fulgent,” the “Company,” “we,” “us” and “our” refer to Fulgent Genetics, Inc. and its consolidated subsidiaries.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risks related to the completion of the transition of our billing and revenue cycle management system and its effect on our collections, revenue, gross margin and liquidity; the decline in revenue from our largest customer; the integration of Bako and our other acquired businesses; potential future impairment of our goodwill and intangible assets; the ongoing DOJ investigation and our ability to comply with complex regulations regarding billing, FDA therapeutic and device approval regulations, and other regulations applicable to our business; and the development of our therapeutic product candidates, and those described under “Item 1A. Risk Factors” in Part I of the 2025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includes technical laboratory and testing services and professional interpretation of laboratory results by licensed physicians. Our therapeutic development business is focused on developing product candidates for treating a broad range of cancers using a novel nanoencapsulation and targeted therapy platform designed to improve the therapeutic window and pharmacokinetic profile of new and existing cancer drugs.</w:t>
      </w:r>
    </w:p>
    <w:p>
      <w:pPr>
        <w:spacing w:after="0" w:line="178"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March 17, 2026, and as further described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to the condensed consolidated financial statements included in this report, we completed the acquisition of certain assets of Bako Diagnostics and acquired StrataDx, or collectively, the Bako Acquisition, which together provide dermatopathology, podiatric pathology, and molecular diagnostic services and therapeutic products. As the Bako Acquisition closed late in the first quarter, the results for the nine months ended September 30, 2026, include only approximately six and a half months of the acquired operations. We expect the additional impact of the Bako Acquisition on our consolidated results of operations, including revenue, cost of revenue, and operating expenses, to be reflected in future periods.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 and Other Factors Affecting Our Performance</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as described in our 2025 Annual Report. In particular, the Bako Acquisition is a transaction involving the integration of operations into our existing laboratory business. As described in greater detail in the risk factors included in our 2025 Annual Report, these acquisitions involve inherent risks, including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color w:val="auto"/>
        </w:rPr>
        <w:t>potential difficulties in integrating operations, personnel, and technologies, and the potential for higher than anticipated acquisition-related costs or integration expenses. Ultimately, we may not realize the anticipated benefits of this transaction. For more information,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Part I of the 2025 Annual Report. In addition, our performance in any period is affected by a number of other factors. See the description of some of the material factors affecting our performance in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of the 2025 Annual Report.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For a financial overview relating to our results of operations, including general descriptions of the make-up of material line items of our statement of operation data, see “</w:t>
      </w:r>
      <w:r>
        <w:rPr>
          <w:rFonts w:ascii="Times New Roman" w:cs="Times New Roman" w:eastAsia="Times New Roman" w:hAnsi="Times New Roman"/>
          <w:sz w:val="18"/>
          <w:szCs w:val="18"/>
          <w:i w:val="1"/>
          <w:iCs w:val="1"/>
          <w:color w:val="auto"/>
        </w:rPr>
        <w:t>Item 7.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of the 2025 Annual Report. Historical results are not indicative of the results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expected in the current period or any future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0"/>
                <w:szCs w:val="10"/>
                <w:color w:val="auto"/>
              </w:rPr>
            </w:pP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0"/>
                <w:szCs w:val="10"/>
                <w:color w:val="auto"/>
              </w:rPr>
            </w:pPr>
          </w:p>
        </w:tc>
        <w:tc>
          <w:tcPr>
            <w:tcW w:w="540" w:type="dxa"/>
            <w:vAlign w:val="bottom"/>
          </w:tcPr>
          <w:p>
            <w:pPr>
              <w:jc w:val="right"/>
              <w:ind w:right="13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340" w:type="dxa"/>
            <w:vAlign w:val="bottom"/>
            <w:gridSpan w:val="6"/>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percentages)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 Data</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140" w:type="dxa"/>
            <w:vAlign w:val="bottom"/>
          </w:tcPr>
          <w:p>
            <w:pPr>
              <w:spacing w:after="0"/>
              <w:rPr>
                <w:sz w:val="18"/>
                <w:szCs w:val="18"/>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58,465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2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167,823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(3,565)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(19,177)</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(224)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and marketing</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(574)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54,494</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172,358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19,207</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(7,197)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(93,242)</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(54,858)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(38,384)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of equity securities</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(38)</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9"/>
        </w:trPr>
        <w:tc>
          <w:tcPr>
            <w:tcW w:w="2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22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(14,043)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(7,509)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(6,534)</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(69,711)</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(40,751)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(28,960)</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(1,379)</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1"/>
        </w:trPr>
        <w:tc>
          <w:tcPr>
            <w:tcW w:w="28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from consolidated</w:t>
            </w:r>
          </w:p>
        </w:tc>
        <w:tc>
          <w:tcPr>
            <w:tcW w:w="18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(13,339)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(6,826)</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(6,513)</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(68,332)</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(37,981)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(30,351)</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1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(13,152)</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(6,608)</w:t>
            </w: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(6,544)</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(67,508)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(37,095)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(30,413)</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69"/>
        </w:trPr>
        <w:tc>
          <w:tcPr>
            <w:tcW w:w="2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88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54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-4105275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-4105275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-4105275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-4105275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-4105275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-4105275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-2982595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-2982595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-2982595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-2982595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-2982595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-2982595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-2150745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-2150745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-2150745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-2150745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-2150745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-2150745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-1028065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-1010920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-1028065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-1010920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-1028065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-1010920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-1028065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-1010920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-1028065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-1010920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-1028065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-1010920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vMerge w:val="restart"/>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restart"/>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54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gridSpan w:val="6"/>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laboratory services</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Precision diagnostics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41,841</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(8,893)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142,259</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(18,727)</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Anatomic pathology</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103,456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BioPharma services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laboratory services</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239,197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Revenue from therapeutic</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BioPharma services</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(138)</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therapeutic development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(138)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246,939</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-316230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-316230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-316230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-316230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-316230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-316230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-25400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-25400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-25400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by $6.3 million, or 8%, from $84.1 million in the three months ended September 30, 2025, to $90.4 million in the three months ended September 30, 2026. The increase in revenue between periods was driven by increases of $14.9 million in anatomic pathology and $0.3 million in BioPharma services, partially offset by a decrease of $8.9 million in precision diagnostics.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by $7.6 million, or 3%, from $239.3 million in the nine months ended September 30, 2025, to $246.9 million in the nine months ended September 30, 2026. The increase in revenue between periods was driven by increases of $24.1 million in anatomic pathology and $2.3 million in BioPharma services, partially offset by a decrease of $18.7 million in precision diagnostics.</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decrease in precision diagnostics revenue was driven by the decline in revenue from our largest customer as this customer transitions to performing tests internally. As previously disclosed in our 2025 Annual Report, we expect revenues for our largest customer to continue to decline in 2026 as this customer continues to increase the performance of tests internally. The tests and testing services this customer has historically purchased were primarily precision diagnostic tests. To reduce this revenue risk, we will focus on developing existing customers and increasing the number of customers and thereby reducing the concentration and on successfully integrating our acquired businesses. The increase in anatomic pathology services was primarily due to $21.8 million and $41.3 million of revenue in the three and nine months ended September 30, 2026, respectively, resulting from assets and the business acquired in the Bako Acquisition, partially offset by decreases due to the impact of the final phase of the transition of our billing and revenue cycle management system which has resulted in significant processing backlogs and collections delays. We are in the process of addressing these transition issues, but may continue to experience adverse collection results pending completion of this effort. The volume of our anatomic pathology testing services can fluctuate during holiday periods and can decline due to extreme adverse weather conditions leading to temporary laboratory closures as experienced during 2026. The increase in BioPharma services revenue was primarily due to the timing of service projects, though this revenue is expected to remain variable due to the long sales cycle and fluctuations in project timing.</w:t>
      </w:r>
    </w:p>
    <w:p>
      <w:pPr>
        <w:spacing w:after="0" w:line="19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these revenue streams are 1) the average price point we offer and the reimbursement rate from insurance payors; 2) the concentration of our payor base; 3) the competitive advantage we have due to our broad and flexible test menu, detection rate, and turnaround times; and 4) growth in size of an addressable market. Estimated collection amounts from insurance payors are subject to the complexities and ambiguities of billing, reimbursement regulations and claims processing, as well as considerations unique to Medicare and Medicaid programs. Because our proprietary technology platform allows for rapid scaling of a broad, flexible testing menu, we can offer our customers more scalable and affordable testing. Going forward, we will strive to maintain this competitive advantage and emphasize this in our marketing efforts to grow our testing revenue.</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customer base includes insurance, institutional, and individual payors. In some periods, our revenue is concentrated on a smaller number of customers. For the laboratory services segment, aggregating customers that are under common control, no customer represented a significant concentration of revenue in the three and nine months ended September 30, 2026. One customer contributed $19.2 million, or 23%, of our revenue in the three months ended September 30, 2025, and contributed $54.4 million, or 23%, of total revenue in the nine months ended September 30, 2025. As previously disclosed, we expect revenues for this customer to continue to decline in 2026 as this customer continues to transition the performance of tests internally.</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our customers generally, tests are typically purchased on a test-by-test basis and not pursuant to any long-term purchasing arrangements. Any or all of our customers, including affiliated customers or customers under common control who purchase large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ind w:right="140"/>
        <w:spacing w:after="0" w:line="256" w:lineRule="auto"/>
        <w:rPr>
          <w:sz w:val="20"/>
          <w:szCs w:val="20"/>
          <w:color w:val="auto"/>
        </w:rPr>
      </w:pPr>
      <w:r>
        <w:rPr>
          <w:rFonts w:ascii="Times New Roman" w:cs="Times New Roman" w:eastAsia="Times New Roman" w:hAnsi="Times New Roman"/>
          <w:sz w:val="18"/>
          <w:szCs w:val="18"/>
          <w:color w:val="auto"/>
        </w:rPr>
        <w:t>quantities of tests, have decided, and could again decide at any time, to decrease, delay, or discontinue their orders from us, which could adversely affect our revenue. In addition to the decline in demand from our largest customer transitioning testing services internally discussed above, we believe fluctuations in customer demand for our tests may be attributable, in part, to the nature of our business. Testing demand can often fluctuate throughout the year with lower demand during holiday periods. Our traditional laboratory and testing services customers can also experience significant volatility in their testing demand from period to period in the ordinary course of their operations. Demand fluctuations, particularly for any large customers, often have a significant impact on our period-to-period performance regardless of their cause.</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from the therapeutic development segment includes amounts recognized by ANP Technologies, Inc., or ANP, from technologies licensed to pharmaceutical and biotechnology companies, as well as CROs. An insignificant amount of gross-margin sharing revenue was recognized for the nine months ended September 30, 2026. No further gross-margin sharing revenue is expected from this manufacturing and supply agreement.</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Revenue from non-U.S. sources increased by $0.7 million, or 11%, from $6.5 million in the three months ended September 30, 2025, to $7.2 million in the three months ended September 30, 2026. The increase in the three-month period was primarily due to increases in total revenue from China of $0.3 million and United Kingdom of $0.2 million. Revenue from non-U.S. sources increased by $2.6 million, or 15%, from $17.7 million in the nine months ended September 30, 2025, to $20.3 million in the nine months ended September 30, 2026. The increase in the nine-month period was primarily due to increases in total revenue from China of $0.9 million, Australia of $0.7 million, and United Kingdom of $0.6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8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8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vMerge w:val="restart"/>
          </w:tcPr>
          <w:p>
            <w:pPr>
              <w:spacing w:after="0"/>
              <w:rPr>
                <w:sz w:val="10"/>
                <w:szCs w:val="10"/>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6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8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0"/>
                <w:szCs w:val="10"/>
                <w:color w:val="auto"/>
              </w:rPr>
            </w:pPr>
          </w:p>
        </w:tc>
        <w:tc>
          <w:tcPr>
            <w:tcW w:w="8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gridSpan w:val="2"/>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58,465</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48,557</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2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167,823</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141,042</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26,781</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 as a % of revenue</w:t>
            </w:r>
          </w:p>
        </w:tc>
        <w:tc>
          <w:tcPr>
            <w:tcW w:w="12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consolidated cost of revenue increased by $9.9 million, or 20%, from $48.6 million in the three months ended September 30, 2025, to $58.5 million in the three months ended September 30, 2026. The increase in cost of revenue was primarily due to increases of $10.9 million in cost of revenue resulting from assets and the business acquired in the Bako Acquisition partially offset by a decrease of $1.2 million in personnel costs due to decreased equity-based compensation.</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consolidated cost of revenue increased by $26.8 million, or 19%, from $141.0 million in the nine months ended September 30, 2025, to $167.8 million in the nine months ended September 30, 2026. The increase in cost of revenue was primarily due to increases of $23.7 million in cost of revenue resulting from assets and the business acquired in the Bako Acquisition, $2.0 million in depreciation costs, $1.9 million in shipping and handling expenses, and $0.9 million in consulting and outside labor costs, and partially offset by decreases of $0.7 million in personnel costs due to decreased equity-based compensation, $0.4 million in software and software licensing expenses, and $0.4 million in supplies and materials expenses.</w:t>
      </w:r>
    </w:p>
    <w:p>
      <w:pPr>
        <w:spacing w:after="0" w:line="18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consolidated cost of revenue as a percentage of revenue increased from 58% in the three months ended September 30, 2025, to 65% in the three months ended September 30, 2026. Our consolidated cost of revenue as a percentage of revenue increased from 59% in the nine months ended September 30, 2025, to 68% in the nine months ended September 30, 2026.</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gross profit decreased by $3.6 million, or 10%, from $35.5 million in the three months ended September 30, 2025, to $31.9 million in the three months ended September 30, 2026, and decreased by $19.2 million, or 20%, from $98.3 million in the nine months ended September 30, 2025, to $79.1 million in the nine months ended September 30, 2026. Our gross profit as a percentage of revenue, or gross margin, decreased from 42% in the three months ended September 30, 2025, to 35% in the three months ended September 30, 2026, and 41% in the nine months ended September 30, 2025, to 32% in the nine months ended September 30, 2026. This was driven by the lower collection rate and higher fixed costs, reducing operating leverage primarily resulting from processing and collections delays in connection with the final phase of the implementation of our new billing and revenue cycle management system. This system is complex, and the challenges were mostly related to implementing the customizations needed to maximize reimbursement that were not fully built into the initial launch. We have made progress implementing the required customizations, and our collection rate improved in the third quarter of 2026 compared to the second quarter of 2026. As the remaining customizations are completed and integrated across our revenue cycle, we expect our collection rate, and correspondingly our gross margin, to improve, though we cannot predict the exact timing of that improvement.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0"/>
                <w:szCs w:val="10"/>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restart"/>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540" w:type="dxa"/>
            <w:vAlign w:val="bottom"/>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6"/>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(970)</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(620)</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(224)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-170815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-170815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-170815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-170815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For the laboratory services segment, the research and development expenses were mainly for advancing our technology and future testing and testing services. The expenses increased by $0.7 million, or 11%, from $7.1 million in the three months ended September 30, 2025, to $7.8 million in the three months ended September 30, 2026. The increase was primarily attributable to increases of $0.9 million in reagents and supplies expenses.</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expenses increased by $3.3 million, or 15%, from $21.6 million in the nine months ended September 30, 2025, to $24.9 million in the nine months ended September 30, 2026. The increase was primarily attributed to increases of $2.7 million in reagents and supplies expenses and $0.7 million in personnel expenses.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the therapeutic development segment, the research and development expenses in the three months ended September 30, 2026, totaled $5.8 million and consisted of $3.1 million in personnel costs, including equity-based compensation, and $2.1 million in contract research organization, or CRO, costs. In the three months ended September 30, 2025, these expenses totaled $6.8 million and comprised $3.4 million in CRO costs and $2.8 million of personnel costs, including equity-based compensation. Other expense categories including facilities and depreciation are not individually significant and have remained stable.</w:t>
      </w:r>
    </w:p>
    <w:p>
      <w:pPr>
        <w:spacing w:after="0" w:line="75"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7"/>
          <w:szCs w:val="17"/>
          <w:color w:val="auto"/>
        </w:rPr>
        <w:t>For the therapeutic development segment, the research and development expenses in the nine months ended September 30, 2026, totaled $17.5 million and consisted of $8.8 million in personnel costs, including equity-based compensation, and $6.9 million in CRO costs. In the nine months ended September 30, 2025, these expenses totaled $18.1 million and comprised $8.9 million in CRO costs and $7.8 million of personnel expenses, including equity-based compensation. Other expense categories including facilities and depreciation are not individually significant and have remained stable.</w:t>
      </w:r>
    </w:p>
    <w:p>
      <w:pPr>
        <w:spacing w:after="0" w:line="16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research and development expenses for Therapeutic Development decreased by $1.0 million, or 14% from $6.8 million in the three months ended September 30, 2025 to $5.8 million in the three months ended September 30, 2026. The decrease was due to a decrease of $1.3 million in CRO costs. The research and development expenses remained flat for nine months ended September 30, 2026, and 2025.</w:t>
      </w:r>
    </w:p>
    <w:p>
      <w:pPr>
        <w:spacing w:after="0" w:line="176"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Expenses for our therapeutic development segment will be influenced by our ability to progress our therapeutic candidates through development with the Food and Drug Administration, or the FDA, the timing of which can be uncertain and delayed due to a variety of factors beyond our control, including staff reductions at the FDA, which may affect the FDA’s ability to provide any required approvals or review in a timely manner or in the timelines expected.</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had end of Phase 2 meetings for FID-007 with the FDA. We expect our research and development expenses to increase when we continue our development efforts.</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Looking ahead, we expect research and development expenses to continue increasing as clinical trials progress for FID-007, FID-022, and other pre-clinical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consolidated selling and marketing expenses increased by $4.0 million, or 34%, from $11.6 million in the three months ended September 30, 2025, to $15.6 million in the three months ended September 30, 2026. The increase in consolidated selling and marketing expenses was due to increase of $3.3 million resulting from assets and the business acquired in the Bako Acquisition and $0.6 million in software and software licensing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consolidated selling and marketing expenses increased by $10.7 million, or 33%, from $32.4 million in the nine months ended September 30, 2025, to $43.1 million in the nine months ended September 30, 2026. The increase in consolidated selling and marketing expenses was due to increase of $8.1 million resulting from assets and the business acquired in the Bako Acquisition, $2.4 million in personnel costs due to increased headcount, and $2.0 million in software and software licensing expenses, partially offset by a decrease of $2.4 million in advertising and marketing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consolidated general and administrative expenses decreased by $0.6 million, or 2%, from $23.3 million in the three months ended September 30, 2025, to $22.8 million in the three months ended September 30, 2026. This included decreases of $3.0 million in bad debt expense and $0.5 million of personnel costs, partially offset by an increase in consolidated general and administrative expenses of $3.3 million resulting from assets and the business acquired in the Bako Acquisition.</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by $2.6 million, or 3%, from $75.0 million in the nine months ended September 30, 2025, to $77.6 million in the nine months ended September 30, 2026. The increase in consolidated general and administrative expenses was due to increases of $7.9 million resulting from assets and the business acquired in the Bako Acquisition, $2.4 million in acquisition-related expenses, and $1.1 million in software and software licensing expenses, partially offset by decreases of $4.2 million in bad debt expense, $2.0 million in personnel costs due to decreased bonus and equity-based compensation expenses, $1.0 million in accounting expenses, and $0.7 million in consulting and outside labor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September 30, 2026, there was no impairment of intangible assets.</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we identified a triggering event with respect to a finite-lived customer relationship intangible asset acquired as part of the ANP acquisition, resulting from the loss of a significant customer relationship. As a result, we recorded an impairment charge of $2.2 million, representing the remaining net carrying value of the intangible asset after accumulated amortization since the ANP acquisition date, effectively writing off the asset in its entirety. The impairment charge is reflected within a separate line item in the Condensed Consolidated Statements of Operations. There were no such impairment charges for intangible assets in the prior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Our consolidated amortization of intangible assets represents amortization expenses on the intangible assets that arose from the business combinations in 2026, 2025, 2022 and 2021, and a patent purchased in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Other income is primarily comprised of interest income, which was $8.6 million and $23.6 million in the three and nine months ended September 30, 2026, respectively, and $7.9 million and $24.0 million in the three and nine months ended September 30, 2025, respectively. This interest income included interest earned on marketable securities and realized gain or loss on sale of marketable securities, as well as interest accrued for outstanding federal tax refunds. The change in interest income was primarily due to the interest earned from the outstanding federal tax refunds, partially offset by lower overall marketable security balances. Other expenses were minimal in 2026. Other expenses in 2025 primarily consisted of a one-time, non-cash impairment of $9.9 million related to a prior investment as discussed further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of the financial statements included in this quarterly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Benefit from income taxes was $0.7 million and $1.4 million for the three and nine months ended September 30, 2026, respectively, compared with $0.7 million and $2.8 million for the three and nine months ended September 30, 2025, respectively. The Company’s effective tax rate was 5% and 2% for the three and nine months ended September 30, 2026, respectively, compared to 9% and 7% for the three and nine months ended September 30,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minority stockholders from entities not wholly owned.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had $652.4 million and $705.5 million in cash, cash equivalents, restricted cash, and marketable securities as of September 30, 2026, and December 31, 2025, respectively. Our marketable securities primarily consist of U.S. government and U.S. agency debt securities, corporate bonds, and municipal bonds as of September 30, 2026, and December 31, 2025.</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primary uses of cash are for strategic acquisitions (the Bako Acquisition was funded from existing cash); our stock repurchase program; capital expenditures, mainly in buildings, building improvements, and equipment; the funding of our clinical trials; and the funding of our operations as we continue to invest in and seek to grow our business. Cash used to fund operating expenses is impacted by the timing of our expense payments, as reflected in the changes in our outstanding accounts payable and accrued expenses. Future repurchases under the stock repurchase program, if any, will depend on a variety of factors, including the market price of our common stock, general market and economic conditions, our financial condition and operating results, our capital requirements and alternative uses of capital, applicable legal requirements, and other factors our board of directors may deem relevant. Our stock repurchase program does not obligate us to repurchase any specific number of shares and may be suspended, modified, or discontinued at any time without prior notice.</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our existing cash, cash equivalents, restricted cash, and marketable securities to continue to be sufficient to meet our anticipated cash requirements for at least the next 12 months. Historically, cash provided by operations has contributed to our ability to meet our liquidity needs, including paying for capital expenditures, however, cash provided by our operations has in the past experienced fluctuations from period to period, which we expect may continue in the future. Cash provided by operating activities in the nine months ended September 30, 2026, was primarily attributable to the receipt of a $112.3 million federal income tax refund, including approximately $6.2 million of interest, which we do not expect to recur. Excluding this refund, our operating activities used approximately $19.8 million of cash in the nine months ended September 30, 2026. These fluctuations can occur because of a variety of factors, including, among others, factors relating to the demand for our tests, whether large customers continue ordering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We intend to improve our profitability by improving margins and expanding in new markets for our tests, but these efforts are subject to risks, including those described in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the 2025 Annual Report, and may not be successful. Moreover, even if our liquidity expectations are correct, we may still seek to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capital through securities offerings, credit facilities or other debt financings, asset sales or collaborations or licensing arrangements.</w:t>
      </w:r>
    </w:p>
    <w:p>
      <w:pPr>
        <w:spacing w:after="0" w:line="19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and as discussed above, we are in the process of transitioning our billing and revenue cycle management system, which has required us to rebuild and implement significant customizations. As a result, we have encountered processing delays affecting our collections rate and some delayed amounts may not ultimately be collected at the rate we expect. As the remaining customizations are completed and integrated across our revenue cycle, we expect our collection rates to improve, though we cannot predict the exact timing of that improvement. We do not believe this matter will impact our ability to meet our anticipated cash requirements for at least the next 12 months, but continued delays in completing this transition could further affect our collections, liquidity, and results of operations. We also expect our research and development expenses to increase as we continue our research and development efforts and could encounter liability as a result of an adverse outcome of any government investigation or litigation as described in our financial statements.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raises,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cash flows from continuing operations for each of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92,571</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(23,495)</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100,217</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(69,782)</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(14,255)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our operations provided $92.6 million of cash, as compared to $23.5 million used in the nine months ended September 30, 2025. The increase in cash provided by operating activities in the nine months ended September 30, 2026, as compared with the corresponding period in 2025, was primarily due to $112.3 million of IRS tax refund and interest received during the three months ended September 30, 2026. The remaining is related to the timing of cash receipts from customers and cash payments for operating expenses. We expect to incur more operating expenses and use more cash in operating activities over time as a result of our planned and ongoing clinical trials for FID-007 and FID-022, and as we continue to invest resources to grow our laboratory services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cash provided by or used in investing activities is impacted by capital expenditures for operational needs and timing of payments, timing of maturities of marketable securities, and discretionary business combinations and other investments.</w:t>
      </w:r>
    </w:p>
    <w:p>
      <w:pPr>
        <w:spacing w:after="0" w:line="162"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in the nine months ended September 30, 2026 was $13.7 million, which primarily represented $166.2 million in maturities of marketable securities, $37.2 million in proceeds from sale of marketable securities, partially offset by $123.0 million from the purchase of marketable securities, $55.9 million related to business acquisitions, and $10.8 million related to the purchase of fixed assets consisting mainly of building improvements, medical laboratory equipment, and computer hardware.</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in the nine months ended September 30, 2025, was $100.2 million, which primarily represented $132.9 million related to maturities of marketable securities and $3.8 million from the acquisition of ANP, net of cash received, partially offset by $18.9 million from the purchase of marketable securities and $17.6 million related to the purchase of fixed assets consisting mainly of building improvements, medical laboratory equipment, and computer hardware.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2026, was $69.8 million, which primarily related to $64.1 million used in the repurchase of common stock and $4.9 million used in common stock withholding for employee tax obligations.</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2025, was $14.3 million, which primarily related to $10.9 million for repurchase of common stock and $2.6 million used in common stock withholding for employee tax obligations.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expect to use any credit facilities due to the strong cash position as of September 30,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we may repurchase shares from time to time in the open market or in privately negotiated transactions.</w:t>
      </w:r>
    </w:p>
    <w:p>
      <w:pPr>
        <w:spacing w:after="0" w:line="176"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repurchased 15,059 and 4.1 million shares of our common stock, respectively, at an aggregate cost of $0.3 million and $64.1 million, respectively, under the stock repurchase program. During the three and nine months ended September 30, 2025, we repurchased zero and 0.6 million shares of our common stock, respectively, at an aggregate cost of zero and $10.9 million, respectively, under the stock repurchase program. As of September 30, 2026, a total of approximately $75.6 million remained available for future repurchases of our common stock under our stock repurchase program.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spacing w:after="0" w:line="8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estimates from the information provided in Part II, “</w:t>
      </w:r>
      <w:r>
        <w:rPr>
          <w:rFonts w:ascii="Times New Roman" w:cs="Times New Roman" w:eastAsia="Times New Roman" w:hAnsi="Times New Roman"/>
          <w:sz w:val="18"/>
          <w:szCs w:val="18"/>
          <w:i w:val="1"/>
          <w:iCs w:val="1"/>
          <w:color w:val="auto"/>
        </w:rPr>
        <w:t>Item 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the 2025 Annual Report.</w:t>
      </w:r>
    </w:p>
    <w:p>
      <w:pPr>
        <w:spacing w:after="0" w:line="3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report for information about recent accounting pronouncements.</w:t>
      </w:r>
    </w:p>
    <w:p>
      <w:pPr>
        <w:spacing w:after="0" w:line="26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are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in the 2025 Annual Report. There were no material changes during the nine months ended September 30, 2026.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principal executive officer and principal financial officer, conducted an evaluation of the effectiveness of our disclosure controls and procedures as of September 30, 2026. Based on this evaluation, our principal executive officer and principal financial officer concluded that our disclosure controls and procedures were effective as of September 30, 2026.</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(as required by Rule 13a-15(c) under the Exchange Act) over financial reporting during the three months ended September 30, 2026, that have materially affected or are reasonably likely to materially affect our internal control over financial reporting.</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From time to time, we may be involved in legal proceedings arising in the ordinary course of our business. As disclosed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we are engaged in certain legal investigations and audits,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set forth in Note 8 relating to these certain legal matters is incorporated herein by reference.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these matters is inherently uncertain, and there can be no assurance that favorable outcomes will be obtained.</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Regardless of the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set forth in Part I,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of the 2025 Annual Report.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the Company may repurchase shares from time to time in the open market or in privately negotiated transactions. Purchases were made in the open market at prevailing market prices and were executed pursuant to trading plans we adopted pursuant to Rule 10b5-1 under the Exchange Act.</w:t>
      </w:r>
    </w:p>
    <w:p>
      <w:pPr>
        <w:spacing w:after="0" w:line="180"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under the stock repurchase program and the average price paid per share for the three months ended September 30, 2026, are as follows:</w:t>
      </w:r>
    </w:p>
    <w:tbl>
      <w:tblPr>
        <w:tblLayout w:type="fixed"/>
        <w:tblInd w:w="0" w:type="dxa"/>
        <w:tblCellMar>
          <w:top w:w="0" w:type="dxa"/>
          <w:left w:w="0" w:type="dxa"/>
          <w:bottom w:w="0" w:type="dxa"/>
          <w:right w:w="0" w:type="dxa"/>
        </w:tblCellMar>
      </w:tblPr>
      <w:tr>
        <w:trPr>
          <w:trHeight w:val="131"/>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40" w:type="dxa"/>
            <w:vAlign w:val="bottom"/>
          </w:tcPr>
          <w:p>
            <w:pPr>
              <w:spacing w:after="0"/>
              <w:rPr>
                <w:sz w:val="11"/>
                <w:szCs w:val="11"/>
                <w:color w:val="auto"/>
              </w:rPr>
            </w:pPr>
          </w:p>
        </w:tc>
        <w:tc>
          <w:tcPr>
            <w:tcW w:w="14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 Maximum Dollar</w:t>
            </w: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Repurchased</w:t>
            </w:r>
          </w:p>
        </w:tc>
        <w:tc>
          <w:tcPr>
            <w:tcW w:w="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 Total Number of</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(b) Average Price</w:t>
            </w: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81"/>
        </w:trPr>
        <w:tc>
          <w:tcPr>
            <w:tcW w:w="4760" w:type="dxa"/>
            <w:vAlign w:val="bottom"/>
            <w:vMerge w:val="restart"/>
          </w:tcPr>
          <w:p>
            <w:pPr>
              <w:ind w:left="21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Shares Repurchased</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Per Share (1)</w:t>
            </w: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2026 (7/1/2026-7/31/2026)</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75,837,259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August 2026 (8/1/2026-8/31/2026)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75,586,116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2026 (9/1/2026-9/30/2026)</w:t>
            </w:r>
          </w:p>
        </w:tc>
        <w:tc>
          <w:tcPr>
            <w:tcW w:w="1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75,586,116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-156845</wp:posOffset>
            </wp:positionV>
            <wp:extent cx="768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-156845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-10795</wp:posOffset>
            </wp:positionV>
            <wp:extent cx="90868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-10795</wp:posOffset>
            </wp:positionV>
            <wp:extent cx="89154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Includes commissions for the shares repurchased under the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-127635</wp:posOffset>
            </wp:positionV>
            <wp:extent cx="90868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-127635</wp:posOffset>
            </wp:positionV>
            <wp:extent cx="89154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 total of approximately $75.6 million remained available for future repurchases of our common stock under the stock repurchase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of the Exchange Act, adopted or terminated “Rule 10b5-1 trading arrangement” or “non-Rule 10b5-1 trading arrangement” as each term is defined in Item 408 of Regulation S-K.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immediately preceding the signature page of this report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tbl>
      <w:tblPr>
        <w:tblLayout w:type="fixed"/>
        <w:tblInd w:w="0" w:type="dxa"/>
        <w:tblCellMar>
          <w:top w:w="0" w:type="dxa"/>
          <w:left w:w="0" w:type="dxa"/>
          <w:bottom w:w="0" w:type="dxa"/>
          <w:right w:w="0" w:type="dxa"/>
        </w:tblCellMar>
      </w:tblPr>
      <w:tr>
        <w:trPr>
          <w:trHeight w:val="155"/>
        </w:trPr>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60" w:type="dxa"/>
            <w:vAlign w:val="bottom"/>
            <w:gridSpan w:val="8"/>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 this</w:t>
            </w:r>
          </w:p>
        </w:tc>
        <w:tc>
          <w:tcPr>
            <w:tcW w:w="60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6060" w:type="dxa"/>
            <w:vAlign w:val="bottom"/>
            <w:gridSpan w:val="8"/>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Form No.</w:t>
            </w:r>
          </w:p>
        </w:tc>
        <w:tc>
          <w:tcPr>
            <w:tcW w:w="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Date Filed</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90">
              <w:r>
                <w:rPr>
                  <w:rFonts w:ascii="Times New Roman" w:cs="Times New Roman" w:eastAsia="Times New Roman" w:hAnsi="Times New Roman"/>
                  <w:sz w:val="14"/>
                  <w:szCs w:val="14"/>
                  <w:color w:val="0000FF"/>
                </w:rPr>
                <w:t>Certificate of Incorporation of the registrant, as amended.</w:t>
              </w:r>
            </w:hyperlink>
          </w:p>
        </w:tc>
        <w:tc>
          <w:tcPr>
            <w:tcW w:w="1260" w:type="dxa"/>
            <w:vAlign w:val="bottom"/>
          </w:tcPr>
          <w:p>
            <w:pPr>
              <w:spacing w:after="0"/>
              <w:rPr>
                <w:sz w:val="23"/>
                <w:szCs w:val="23"/>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91">
              <w:r>
                <w:rPr>
                  <w:rFonts w:ascii="Times New Roman" w:cs="Times New Roman" w:eastAsia="Times New Roman" w:hAnsi="Times New Roman"/>
                  <w:sz w:val="14"/>
                  <w:szCs w:val="14"/>
                  <w:color w:val="0000FF"/>
                </w:rPr>
                <w:t>Certificate of Amendment to Certificate of Incorporation of the registrant, dated August 2, 2016.</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78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92">
              <w:r>
                <w:rPr>
                  <w:rFonts w:ascii="Times New Roman" w:cs="Times New Roman" w:eastAsia="Times New Roman" w:hAnsi="Times New Roman"/>
                  <w:sz w:val="14"/>
                  <w:szCs w:val="14"/>
                  <w:color w:val="0000FF"/>
                </w:rPr>
                <w:t>Certificate of Amendment to Certificate of Incorporation of the registrant, dated May 17, 2017.</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93">
              <w:r>
                <w:rPr>
                  <w:rFonts w:ascii="Times New Roman" w:cs="Times New Roman" w:eastAsia="Times New Roman" w:hAnsi="Times New Roman"/>
                  <w:sz w:val="14"/>
                  <w:szCs w:val="14"/>
                  <w:color w:val="0000FF"/>
                </w:rPr>
                <w:t>Amended and Restated Bylaws of the registrant.</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8/4/2023</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560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440" w:type="dxa"/>
            <w:vAlign w:val="bottom"/>
            <w:tcBorders>
              <w:bottom w:val="single" w:sz="8" w:color="0000FF"/>
            </w:tcBorders>
          </w:tcPr>
          <w:p>
            <w:pPr>
              <w:jc w:val="right"/>
              <w:spacing w:after="0" w:line="129" w:lineRule="exact"/>
              <w:rPr>
                <w:sz w:val="20"/>
                <w:szCs w:val="20"/>
                <w:color w:val="auto"/>
              </w:rPr>
            </w:pPr>
            <w:r>
              <w:rPr>
                <w:rFonts w:ascii="Times New Roman" w:cs="Times New Roman" w:eastAsia="Times New Roman" w:hAnsi="Times New Roman"/>
                <w:sz w:val="14"/>
                <w:szCs w:val="14"/>
                <w:color w:val="0000FF"/>
                <w:w w:val="89"/>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5540" w:type="dxa"/>
            <w:vAlign w:val="bottom"/>
            <w:tcBorders>
              <w:top w:val="single" w:sz="8" w:color="0000FF"/>
              <w:bottom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500" w:type="dxa"/>
            <w:vAlign w:val="bottom"/>
            <w:tcBorders>
              <w:bottom w:val="single" w:sz="8" w:color="0000FF"/>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0000FF"/>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444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1620" w:type="dxa"/>
            <w:vAlign w:val="bottom"/>
            <w:tcBorders>
              <w:top w:val="single" w:sz="8" w:color="0000FF"/>
            </w:tcBorders>
            <w:gridSpan w:val="5"/>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because XBRL tags are embedded within the Inline XBRL document.</w:t>
            </w: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300" w:hanging="292"/>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96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8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ing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sieh</w:t>
            </w:r>
          </w:p>
        </w:tc>
      </w:tr>
      <w:tr>
        <w:trPr>
          <w:trHeight w:val="191"/>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Ming Hsieh</w:t>
            </w:r>
          </w:p>
        </w:tc>
      </w:tr>
      <w:tr>
        <w:trPr>
          <w:trHeight w:val="214"/>
        </w:trPr>
        <w:tc>
          <w:tcPr>
            <w:tcW w:w="4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8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im</w:t>
            </w:r>
          </w:p>
        </w:tc>
      </w:tr>
      <w:tr>
        <w:trPr>
          <w:trHeight w:val="191"/>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Paul Kim</w:t>
            </w:r>
          </w:p>
        </w:tc>
      </w:tr>
      <w:tr>
        <w:trPr>
          <w:trHeight w:val="234"/>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2026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8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42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2026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8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195"/>
        </w:trPr>
        <w:tc>
          <w:tcPr>
            <w:tcW w:w="42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September 30, 2026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0" w:lineRule="exact"/>
        <w:rPr>
          <w:sz w:val="20"/>
          <w:szCs w:val="20"/>
          <w:color w:val="auto"/>
        </w:rPr>
      </w:pPr>
    </w:p>
    <w:p>
      <w:pPr>
        <w:ind w:left="900" w:hanging="35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7"/>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1">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4" Type="http://schemas.openxmlformats.org/officeDocument/2006/relationships/image" Target="media/image483.png"/><Relationship Id="rId495" Type="http://schemas.openxmlformats.org/officeDocument/2006/relationships/image" Target="media/image484.png"/><Relationship Id="rId496" Type="http://schemas.openxmlformats.org/officeDocument/2006/relationships/image" Target="media/image485.png"/><Relationship Id="rId497" Type="http://schemas.openxmlformats.org/officeDocument/2006/relationships/image" Target="media/image486.png"/><Relationship Id="rId498" Type="http://schemas.openxmlformats.org/officeDocument/2006/relationships/image" Target="media/image487.png"/><Relationship Id="rId499" Type="http://schemas.openxmlformats.org/officeDocument/2006/relationships/image" Target="media/image488.png"/><Relationship Id="rId500" Type="http://schemas.openxmlformats.org/officeDocument/2006/relationships/image" Target="media/image489.png"/><Relationship Id="rId501" Type="http://schemas.openxmlformats.org/officeDocument/2006/relationships/image" Target="media/image490.png"/><Relationship Id="rId490" Type="http://schemas.openxmlformats.org/officeDocument/2006/relationships/hyperlink" Target="https://www.sec.gov/Archives/edgar/data/1674930/000119312516700733/d360404dex31.htm" TargetMode="External"/><Relationship Id="rId491" Type="http://schemas.openxmlformats.org/officeDocument/2006/relationships/hyperlink" Target="https://www.sec.gov/Archives/edgar/data/1674930/000119312516700733/d360404dex311.htm" TargetMode="External"/><Relationship Id="rId492" Type="http://schemas.openxmlformats.org/officeDocument/2006/relationships/hyperlink" Target="https://www.sec.gov/Archives/edgar/data/1674930/000156459017017670/flgt-ex312_342.htm" TargetMode="External"/><Relationship Id="rId493" Type="http://schemas.openxmlformats.org/officeDocument/2006/relationships/hyperlink" Target="https://www.sec.gov/Archives/edgar/data/1674930/000095017023038316/flgt-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2026-11-05T15:30:25Z</dcterms:created>
  <dcterms:modified xsi:type="dcterms:W3CDTF">2026-11-05T15:30:25Z</dcterms:modified>
</cp:coreProperties>
</file>