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Xie Jian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2,146</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17.8855</w:t>
            </w:r>
            <w:r>
              <w:rPr>
                <w:rFonts w:ascii="Times;serif" w:hAnsi="Times;serif"/>
                <w:color w:val="008000"/>
                <w:position w:val="7"/>
                <w:sz w:val="16"/>
                <w:sz w:val="20"/>
                <w:shd w:fill="FFFFFF" w:val="clear"/>
              </w:rPr>
              <w:t>(2)</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367,605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220,816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by the reporting person to satisfy the tax withholding obligations that arose upon the vesting of certain restricted stock units granted to the reporting person on February 25, 2025, which grant was originally reported on Form 4 filed with the U.S. Securities and Exchange Commission on February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in multiple transactions at prices ranging from $17.63 to $18.10, inclusive. The reported price reflects the weighted-average sale price. The reporting person hereby undertakes to provide upon request to the Securities and Exchange Commission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held by The Hsieh Family Dynasty Trust, dated January 27, 2010 (the "Trust"). Mr. Xie serves on the investment committee of the Trust. Mr. Xie disclaims any beneficial interest except with respect to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9718"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3936</Characters>
  <CharactersWithSpaces>4599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